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ind w:left="567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pStyle w:val="21"/>
      </w:pPr>
      <w:r>
        <w:t xml:space="preserve">     </w:t>
      </w:r>
      <w:r>
        <w:drawing>
          <wp:inline distT="0" distB="0" distL="0" distR="0">
            <wp:extent cx="2476500" cy="866775"/>
            <wp:effectExtent l="0" t="0" r="0" b="0"/>
            <wp:docPr id="1" name="Рисунок 1" descr="Основное лого 2 Ханты-Мансийский автономный округ – Ю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сновное лого 2 Ханты-Мансийский автономный округ – Юг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</w:t>
      </w:r>
    </w:p>
    <w:p>
      <w:pPr>
        <w:pStyle w:val="21"/>
        <w:numPr>
          <w:ilvl w:val="0"/>
          <w:numId w:val="0"/>
        </w:numPr>
        <w:spacing w:before="0" w:after="0"/>
        <w:ind w:left="0" w:right="0" w:firstLine="0"/>
        <w:contextualSpacing/>
        <w:jc w:val="both"/>
        <w:rPr>
          <w:rFonts w:ascii="Times New Roman" w:hAnsi="Times New Roman"/>
          <w:b w:val="0"/>
          <w:bCs w:val="0"/>
          <w:i/>
          <w:color w:val="000000"/>
          <w:spacing w:val="0"/>
          <w:sz w:val="28"/>
          <w:szCs w:val="28"/>
        </w:rPr>
      </w:pPr>
    </w:p>
    <w:p>
      <w:pPr>
        <w:pStyle w:val="3"/>
        <w:spacing w:before="0" w:after="0"/>
        <w:ind w:left="0" w:right="936"/>
        <w:rPr>
          <w:rFonts w:ascii="Tinos" w:hAnsi="Tinos" w:eastAsia="Times New Roman" w:cs="Times New Roman"/>
          <w:b/>
          <w:i/>
          <w:iCs/>
          <w:caps w:val="0"/>
          <w:smallCaps w:val="0"/>
          <w:color w:val="000000"/>
          <w:spacing w:val="0"/>
          <w:sz w:val="24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</w:pPr>
      <w:r>
        <w:rPr>
          <w:rFonts w:ascii="Tinos" w:hAnsi="Tinos" w:eastAsia="Times New Roman" w:cs="Times New Roman"/>
          <w:b/>
          <w:i/>
          <w:iCs/>
          <w:caps w:val="0"/>
          <w:smallCaps w:val="0"/>
          <w:color w:val="000000"/>
          <w:spacing w:val="0"/>
          <w:sz w:val="24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Постановка на кадастровый учёт ИЖС: почему важно соблюдать принцип «построил — оформи»</w:t>
      </w:r>
    </w:p>
    <w:p>
      <w:pPr>
        <w:pStyle w:val="5"/>
        <w:spacing w:before="0" w:after="0"/>
        <w:ind w:left="0" w:right="936"/>
        <w:rPr>
          <w:rFonts w:ascii="Tinos" w:hAnsi="Tinos" w:eastAsia="Times New Roman" w:cs="Times New Roman"/>
          <w:b/>
          <w:i/>
          <w:iCs/>
          <w:caps w:val="0"/>
          <w:smallCaps w:val="0"/>
          <w:color w:val="000000"/>
          <w:spacing w:val="0"/>
          <w:sz w:val="24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</w:pPr>
    </w:p>
    <w:p>
      <w:pPr>
        <w:pStyle w:val="5"/>
        <w:rPr>
          <w:rFonts w:ascii="Tinos" w:hAnsi="Tinos"/>
          <w:b w:val="0"/>
          <w:bCs w:val="0"/>
          <w:sz w:val="24"/>
          <w:szCs w:val="24"/>
        </w:rPr>
      </w:pPr>
      <w:r>
        <w:rPr>
          <w:rFonts w:ascii="Tinos" w:hAnsi="Tinos"/>
          <w:b w:val="0"/>
          <w:bCs w:val="0"/>
          <w:sz w:val="24"/>
          <w:szCs w:val="24"/>
        </w:rPr>
        <w:t xml:space="preserve">Управление Росреестра по ХМАО — Югре напоминает собственникам индивидуальных жилых домов о важности своевременной постановки объектов на кадастровый учёт. </w:t>
      </w:r>
    </w:p>
    <w:p>
      <w:pPr>
        <w:pStyle w:val="5"/>
        <w:rPr>
          <w:rFonts w:ascii="Tinos" w:hAnsi="Tinos"/>
          <w:b w:val="0"/>
          <w:bCs w:val="0"/>
          <w:sz w:val="24"/>
          <w:szCs w:val="24"/>
        </w:rPr>
      </w:pPr>
      <w:r>
        <w:rPr>
          <w:rFonts w:ascii="Tinos" w:hAnsi="Tinos"/>
          <w:b w:val="0"/>
          <w:bCs w:val="0"/>
          <w:sz w:val="24"/>
          <w:szCs w:val="24"/>
        </w:rPr>
        <w:t>Принцип «построил — оформи» подразумевает, что собственник должен поставить дом на кадастровый учёт сразу после завершения строительства, а</w:t>
      </w:r>
      <w:r>
        <w:rPr>
          <w:rFonts w:ascii="Tinos" w:hAnsi="Tinos"/>
          <w:b w:val="0"/>
          <w:bCs w:val="0"/>
          <w:sz w:val="24"/>
          <w:szCs w:val="24"/>
          <w:lang w:val="ru-RU" w:eastAsia="ru-RU" w:bidi="ar-SA"/>
        </w:rPr>
        <w:t xml:space="preserve"> с 1 марта 2025 года это требование закреплено в Градостроительном кодексе Российской Федерации: эксплуатация дома допускается только после его постановки на кадастровый учёт и оформления права собственности.</w:t>
      </w:r>
    </w:p>
    <w:p>
      <w:pPr>
        <w:pStyle w:val="5"/>
      </w:pPr>
      <w:r>
        <w:rPr>
          <w:rStyle w:val="10"/>
          <w:rFonts w:ascii="Tinos" w:hAnsi="Tinos"/>
          <w:b w:val="0"/>
          <w:bCs w:val="0"/>
          <w:sz w:val="24"/>
          <w:szCs w:val="24"/>
        </w:rPr>
        <w:t xml:space="preserve">За 2025 год в Югре </w:t>
      </w:r>
      <w:r>
        <w:rPr>
          <w:rFonts w:ascii="Tinos" w:hAnsi="Tinos"/>
          <w:b w:val="0"/>
          <w:bCs w:val="0"/>
          <w:sz w:val="24"/>
          <w:szCs w:val="24"/>
        </w:rPr>
        <w:t xml:space="preserve">поставлено на учёт </w:t>
      </w:r>
      <w:r>
        <w:rPr>
          <w:rStyle w:val="10"/>
          <w:rFonts w:ascii="Tinos" w:hAnsi="Tinos"/>
          <w:b w:val="0"/>
          <w:bCs w:val="0"/>
          <w:sz w:val="24"/>
          <w:szCs w:val="24"/>
        </w:rPr>
        <w:t xml:space="preserve">3 399 жилых домов </w:t>
      </w:r>
      <w:r>
        <w:rPr>
          <w:rFonts w:ascii="Tinos" w:hAnsi="Tinos"/>
          <w:b w:val="0"/>
          <w:bCs w:val="0"/>
          <w:sz w:val="24"/>
          <w:szCs w:val="24"/>
        </w:rPr>
        <w:t xml:space="preserve">общей площадью </w:t>
      </w:r>
      <w:r>
        <w:rPr>
          <w:rStyle w:val="10"/>
          <w:rFonts w:ascii="Tinos" w:hAnsi="Tinos"/>
          <w:b w:val="0"/>
          <w:bCs w:val="0"/>
          <w:sz w:val="24"/>
          <w:szCs w:val="24"/>
        </w:rPr>
        <w:t>347 284 кв.м</w:t>
      </w:r>
      <w:r>
        <w:rPr>
          <w:rFonts w:ascii="Tinos" w:hAnsi="Tinos"/>
          <w:b w:val="0"/>
          <w:bCs w:val="0"/>
          <w:sz w:val="24"/>
          <w:szCs w:val="24"/>
        </w:rPr>
        <w:t>., с</w:t>
      </w:r>
      <w:r>
        <w:rPr>
          <w:rStyle w:val="10"/>
          <w:rFonts w:ascii="Tinos" w:hAnsi="Tinos"/>
          <w:b w:val="0"/>
          <w:bCs w:val="0"/>
          <w:sz w:val="24"/>
          <w:szCs w:val="24"/>
        </w:rPr>
        <w:t xml:space="preserve"> начала текущего - </w:t>
      </w:r>
      <w:r>
        <w:rPr>
          <w:rFonts w:ascii="Tinos" w:hAnsi="Tinos"/>
          <w:b w:val="0"/>
          <w:bCs w:val="0"/>
          <w:sz w:val="24"/>
          <w:szCs w:val="24"/>
        </w:rPr>
        <w:t xml:space="preserve">более 200 </w:t>
      </w:r>
      <w:r>
        <w:rPr>
          <w:rStyle w:val="10"/>
          <w:rFonts w:ascii="Tinos" w:hAnsi="Tinos"/>
          <w:b w:val="0"/>
          <w:bCs w:val="0"/>
          <w:sz w:val="24"/>
          <w:szCs w:val="24"/>
        </w:rPr>
        <w:t xml:space="preserve">домов </w:t>
      </w:r>
      <w:r>
        <w:rPr>
          <w:rFonts w:ascii="Tinos" w:hAnsi="Tinos"/>
          <w:b w:val="0"/>
          <w:bCs w:val="0"/>
          <w:sz w:val="24"/>
          <w:szCs w:val="24"/>
        </w:rPr>
        <w:t>общей площадью более 20 000</w:t>
      </w:r>
      <w:r>
        <w:rPr>
          <w:rStyle w:val="10"/>
          <w:rFonts w:ascii="Tinos" w:hAnsi="Tinos"/>
          <w:b w:val="0"/>
          <w:bCs w:val="0"/>
          <w:sz w:val="24"/>
          <w:szCs w:val="24"/>
        </w:rPr>
        <w:t xml:space="preserve"> кв.м</w:t>
      </w:r>
      <w:r>
        <w:rPr>
          <w:rFonts w:ascii="Tinos" w:hAnsi="Tinos"/>
          <w:b w:val="0"/>
          <w:bCs w:val="0"/>
          <w:sz w:val="24"/>
          <w:szCs w:val="24"/>
        </w:rPr>
        <w:t>..</w:t>
      </w:r>
    </w:p>
    <w:p>
      <w:pPr>
        <w:pStyle w:val="3"/>
        <w:rPr>
          <w:rFonts w:ascii="Tinos" w:hAnsi="Tinos"/>
          <w:b w:val="0"/>
          <w:bCs w:val="0"/>
          <w:sz w:val="24"/>
          <w:szCs w:val="24"/>
        </w:rPr>
      </w:pPr>
      <w:r>
        <w:rPr>
          <w:rFonts w:ascii="Tinos" w:hAnsi="Tinos"/>
          <w:b w:val="0"/>
          <w:bCs w:val="0"/>
          <w:sz w:val="24"/>
          <w:szCs w:val="24"/>
        </w:rPr>
        <w:t>Почему важно ставить на кадастровый учёт построенный дом? Своевременная постановка жилого дома на кадастровый учёт даёт собственнику ряд ключевых преимуществ:</w:t>
      </w:r>
    </w:p>
    <w:p>
      <w:pPr>
        <w:pStyle w:val="5"/>
        <w:numPr>
          <w:ilvl w:val="0"/>
          <w:numId w:val="1"/>
        </w:numPr>
      </w:pPr>
      <w:r>
        <w:rPr>
          <w:rStyle w:val="10"/>
          <w:rFonts w:ascii="Tinos" w:hAnsi="Tinos"/>
          <w:b w:val="0"/>
          <w:bCs w:val="0"/>
          <w:sz w:val="24"/>
          <w:szCs w:val="24"/>
        </w:rPr>
        <w:t>Юридическая защита прав.</w:t>
      </w:r>
      <w:r>
        <w:rPr>
          <w:rFonts w:ascii="Tinos" w:hAnsi="Tinos"/>
          <w:b w:val="0"/>
          <w:bCs w:val="0"/>
          <w:sz w:val="24"/>
          <w:szCs w:val="24"/>
        </w:rPr>
        <w:t xml:space="preserve"> Дом, внесённый в ЕГРН, становится полноценным объектом недвижимости. Это позволяет свободно распоряжаться им: продавать, дарить, завещать, использовать в качестве залога.</w:t>
      </w:r>
    </w:p>
    <w:p>
      <w:pPr>
        <w:pStyle w:val="5"/>
        <w:numPr>
          <w:ilvl w:val="0"/>
          <w:numId w:val="1"/>
        </w:numPr>
      </w:pPr>
      <w:r>
        <w:rPr>
          <w:rStyle w:val="10"/>
          <w:rFonts w:ascii="Tinos" w:hAnsi="Tinos"/>
          <w:b w:val="0"/>
          <w:bCs w:val="0"/>
          <w:sz w:val="24"/>
          <w:szCs w:val="24"/>
        </w:rPr>
        <w:t>Исключение споров.</w:t>
      </w:r>
      <w:r>
        <w:rPr>
          <w:rFonts w:ascii="Tinos" w:hAnsi="Tinos"/>
          <w:b w:val="0"/>
          <w:bCs w:val="0"/>
          <w:sz w:val="24"/>
          <w:szCs w:val="24"/>
        </w:rPr>
        <w:t xml:space="preserve"> Чёткое определение границ участка и параметров дома минимизирует риск земельных споров с соседями.</w:t>
      </w:r>
    </w:p>
    <w:p>
      <w:pPr>
        <w:pStyle w:val="5"/>
        <w:numPr>
          <w:ilvl w:val="0"/>
          <w:numId w:val="1"/>
        </w:numPr>
      </w:pPr>
      <w:r>
        <w:rPr>
          <w:rStyle w:val="10"/>
          <w:rFonts w:ascii="Tinos" w:hAnsi="Tinos"/>
          <w:b w:val="0"/>
          <w:bCs w:val="0"/>
          <w:sz w:val="24"/>
          <w:szCs w:val="24"/>
        </w:rPr>
        <w:t>Финансовая безопасность.</w:t>
      </w:r>
      <w:r>
        <w:rPr>
          <w:rFonts w:ascii="Tinos" w:hAnsi="Tinos"/>
          <w:b w:val="0"/>
          <w:bCs w:val="0"/>
          <w:sz w:val="24"/>
          <w:szCs w:val="24"/>
        </w:rPr>
        <w:t xml:space="preserve"> Оформленная недвижимость защищена от мошеннических действий. При страховании дома страховая компания потребует актуальные данные из ЕГРН.</w:t>
      </w:r>
    </w:p>
    <w:p>
      <w:pPr>
        <w:pStyle w:val="5"/>
        <w:numPr>
          <w:ilvl w:val="0"/>
          <w:numId w:val="1"/>
        </w:numPr>
      </w:pPr>
      <w:r>
        <w:rPr>
          <w:rStyle w:val="10"/>
          <w:rFonts w:ascii="Tinos" w:hAnsi="Tinos"/>
          <w:b w:val="0"/>
          <w:bCs w:val="0"/>
          <w:sz w:val="24"/>
          <w:szCs w:val="24"/>
        </w:rPr>
        <w:t>Налоговые льготы.</w:t>
      </w:r>
      <w:r>
        <w:rPr>
          <w:rFonts w:ascii="Tinos" w:hAnsi="Tinos"/>
          <w:b w:val="0"/>
          <w:bCs w:val="0"/>
          <w:sz w:val="24"/>
          <w:szCs w:val="24"/>
        </w:rPr>
        <w:t xml:space="preserve"> Собственники могут претендовать на имущественный налоговый вычет только после регистрации права собственности.</w:t>
      </w:r>
    </w:p>
    <w:p>
      <w:pPr>
        <w:pStyle w:val="5"/>
        <w:numPr>
          <w:ilvl w:val="0"/>
          <w:numId w:val="1"/>
        </w:numPr>
      </w:pPr>
      <w:r>
        <w:rPr>
          <w:rStyle w:val="10"/>
          <w:rFonts w:ascii="Tinos" w:hAnsi="Tinos"/>
          <w:b w:val="0"/>
          <w:bCs w:val="0"/>
          <w:sz w:val="24"/>
          <w:szCs w:val="24"/>
        </w:rPr>
        <w:t>Инфраструктурное развитие.</w:t>
      </w:r>
      <w:r>
        <w:rPr>
          <w:rFonts w:ascii="Tinos" w:hAnsi="Tinos"/>
          <w:b w:val="0"/>
          <w:bCs w:val="0"/>
          <w:sz w:val="24"/>
          <w:szCs w:val="24"/>
        </w:rPr>
        <w:t xml:space="preserve"> Точные данные о количестве и площади жилых домов помогают планировать развитие инфраструктуры: строительство дорог, школ, поликлиник.</w:t>
      </w:r>
    </w:p>
    <w:p>
      <w:pPr>
        <w:pStyle w:val="5"/>
        <w:numPr>
          <w:ilvl w:val="0"/>
          <w:numId w:val="1"/>
        </w:numPr>
      </w:pPr>
      <w:r>
        <w:rPr>
          <w:rStyle w:val="10"/>
          <w:rFonts w:ascii="Tinos" w:hAnsi="Tinos"/>
          <w:b w:val="0"/>
          <w:bCs w:val="0"/>
          <w:sz w:val="24"/>
          <w:szCs w:val="24"/>
        </w:rPr>
        <w:t>Прозрачность рынка.</w:t>
      </w:r>
      <w:r>
        <w:rPr>
          <w:rFonts w:ascii="Tinos" w:hAnsi="Tinos"/>
          <w:b w:val="0"/>
          <w:bCs w:val="0"/>
          <w:sz w:val="24"/>
          <w:szCs w:val="24"/>
        </w:rPr>
        <w:t xml:space="preserve"> Учёт всех объектов ИЖС повышает доверие на рынке недвижимости, снижает риски для покупателей и банков.</w:t>
      </w:r>
    </w:p>
    <w:p>
      <w:pPr>
        <w:pStyle w:val="5"/>
        <w:numPr>
          <w:ilvl w:val="0"/>
          <w:numId w:val="0"/>
        </w:numPr>
        <w:bidi w:val="0"/>
        <w:ind w:left="0" w:firstLine="0"/>
      </w:pPr>
      <w:r>
        <w:rPr>
          <w:rStyle w:val="10"/>
          <w:rFonts w:ascii="Tinos" w:hAnsi="Tinos"/>
          <w:b w:val="0"/>
          <w:bCs w:val="0"/>
          <w:sz w:val="24"/>
          <w:szCs w:val="24"/>
          <w:lang w:val="ru-RU" w:eastAsia="ru-RU" w:bidi="ar-SA"/>
        </w:rPr>
        <w:t>Принцип «построил — оформи» - залог законности и спокойствия собственников!</w:t>
      </w:r>
    </w:p>
    <w:p>
      <w:pPr>
        <w:pStyle w:val="5"/>
        <w:spacing w:line="240" w:lineRule="auto"/>
        <w:rPr>
          <w:rFonts w:ascii="Tinos" w:hAnsi="Tinos"/>
          <w:b w:val="0"/>
          <w:bCs w:val="0"/>
          <w:sz w:val="24"/>
          <w:szCs w:val="24"/>
        </w:rPr>
      </w:pPr>
    </w:p>
    <w:p>
      <w:pPr>
        <w:pStyle w:val="33"/>
        <w:spacing w:before="0" w:after="0"/>
        <w:ind w:left="0" w:right="936"/>
        <w:rPr>
          <w:rFonts w:ascii="Times New Roman" w:hAnsi="Times New Roman"/>
          <w:b w:val="0"/>
          <w:i w:val="0"/>
          <w:color w:val="auto"/>
          <w:sz w:val="20"/>
        </w:rPr>
      </w:pPr>
    </w:p>
    <w:p>
      <w:pPr>
        <w:pStyle w:val="33"/>
        <w:spacing w:before="0" w:after="0"/>
        <w:ind w:left="0" w:right="936"/>
        <w:rPr>
          <w:rFonts w:ascii="Times New Roman" w:hAnsi="Times New Roman"/>
          <w:b w:val="0"/>
          <w:i w:val="0"/>
          <w:color w:val="auto"/>
          <w:sz w:val="20"/>
        </w:rPr>
      </w:pPr>
    </w:p>
    <w:p>
      <w:pPr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Пресс-служба Управления Росреестра по Ханты-Мансийскому автономному округу – Югре</w:t>
      </w:r>
    </w:p>
    <w:p>
      <w:pPr>
        <w:spacing w:before="0" w:after="160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szCs w:val="24"/>
          <w:lang w:eastAsia="ru-RU"/>
        </w:rPr>
        <w:t>+7 (3467) 930-755</w:t>
      </w:r>
    </w:p>
    <w:p>
      <w:pPr>
        <w:spacing w:before="0" w:after="0" w:line="240" w:lineRule="auto"/>
        <w:rPr>
          <w:rFonts w:ascii="Times New Roman" w:hAnsi="Times New Roman"/>
          <w:sz w:val="36"/>
          <w:szCs w:val="36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766" w:right="851" w:bottom="993" w:left="1134" w:header="709" w:footer="0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OpenSymbol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no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2034274"/>
      <w:docPartObj>
        <w:docPartGallery w:val="AutoText"/>
      </w:docPartObj>
    </w:sdtPr>
    <w:sdtContent>
      <w:p>
        <w:pPr>
          <w:pStyle w:val="1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0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18"/>
        </w:tabs>
        <w:ind w:left="1418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7"/>
        </w:tabs>
        <w:ind w:left="2127" w:hanging="283"/>
      </w:pPr>
    </w:lvl>
    <w:lvl w:ilvl="3" w:tentative="0">
      <w:start w:val="1"/>
      <w:numFmt w:val="decimal"/>
      <w:lvlText w:val="%4."/>
      <w:lvlJc w:val="left"/>
      <w:pPr>
        <w:tabs>
          <w:tab w:val="left" w:pos="2836"/>
        </w:tabs>
        <w:ind w:left="2836" w:hanging="283"/>
      </w:pPr>
    </w:lvl>
    <w:lvl w:ilvl="4" w:tentative="0">
      <w:start w:val="1"/>
      <w:numFmt w:val="decimal"/>
      <w:lvlText w:val="%5."/>
      <w:lvlJc w:val="left"/>
      <w:pPr>
        <w:tabs>
          <w:tab w:val="left" w:pos="3545"/>
        </w:tabs>
        <w:ind w:left="354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54"/>
        </w:tabs>
        <w:ind w:left="4254" w:hanging="283"/>
      </w:pPr>
    </w:lvl>
    <w:lvl w:ilvl="6" w:tentative="0">
      <w:start w:val="1"/>
      <w:numFmt w:val="decimal"/>
      <w:lvlText w:val="%7."/>
      <w:lvlJc w:val="left"/>
      <w:pPr>
        <w:tabs>
          <w:tab w:val="left" w:pos="4963"/>
        </w:tabs>
        <w:ind w:left="4963" w:hanging="283"/>
      </w:pPr>
    </w:lvl>
    <w:lvl w:ilvl="7" w:tentative="0">
      <w:start w:val="1"/>
      <w:numFmt w:val="decimal"/>
      <w:lvlText w:val="%8."/>
      <w:lvlJc w:val="left"/>
      <w:pPr>
        <w:tabs>
          <w:tab w:val="left" w:pos="5672"/>
        </w:tabs>
        <w:ind w:left="5672" w:hanging="283"/>
      </w:pPr>
    </w:lvl>
    <w:lvl w:ilvl="8" w:tentative="0">
      <w:start w:val="1"/>
      <w:numFmt w:val="decimal"/>
      <w:lvlText w:val="%9."/>
      <w:lvlJc w:val="left"/>
      <w:pPr>
        <w:tabs>
          <w:tab w:val="left" w:pos="6381"/>
        </w:tabs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dit="readOnly" w:enforcement="0"/>
  <w:defaultTabStop w:val="709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34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qFormat/>
    <w:uiPriority w:val="9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3">
    <w:name w:val="heading 4"/>
    <w:basedOn w:val="4"/>
    <w:next w:val="5"/>
    <w:qFormat/>
    <w:uiPriority w:val="0"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"/>
    <w:basedOn w:val="1"/>
    <w:next w:val="5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character" w:styleId="8">
    <w:name w:val="FollowedHyperlink"/>
    <w:uiPriority w:val="0"/>
    <w:rPr>
      <w:color w:val="800000"/>
      <w:u w:val="single"/>
      <w:lang w:val="zh-CN" w:eastAsia="zh-CN" w:bidi="zh-CN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Balloon Text"/>
    <w:basedOn w:val="1"/>
    <w:link w:val="17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4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5">
    <w:name w:val="List"/>
    <w:basedOn w:val="5"/>
    <w:qFormat/>
    <w:uiPriority w:val="0"/>
    <w:rPr>
      <w:rFonts w:ascii="PT Astra Serif" w:hAnsi="PT Astra Serif" w:cs="Noto Sans Devanagari"/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"/>
    <w:basedOn w:val="6"/>
    <w:link w:val="11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8">
    <w:name w:val="Верхний колонтитул Знак"/>
    <w:basedOn w:val="6"/>
    <w:link w:val="13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9">
    <w:name w:val="Нижний колонтитул Знак"/>
    <w:basedOn w:val="6"/>
    <w:link w:val="14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0">
    <w:name w:val="Без интервала Знак"/>
    <w:link w:val="21"/>
    <w:qFormat/>
    <w:locked/>
    <w:uiPriority w:val="1"/>
    <w:rPr>
      <w:rFonts w:ascii="Calibri" w:hAnsi="Calibri" w:eastAsia="Times New Roman" w:cs="Times New Roman"/>
      <w:lang w:eastAsia="ru-RU"/>
    </w:rPr>
  </w:style>
  <w:style w:type="paragraph" w:styleId="21">
    <w:name w:val="No Spacing"/>
    <w:link w:val="20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customStyle="1" w:styleId="22">
    <w:name w:val="Основной текст (2)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23">
    <w:name w:val="Заголовок 3 Знак"/>
    <w:basedOn w:val="6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4">
    <w:name w:val="Маркеры"/>
    <w:qFormat/>
    <w:uiPriority w:val="0"/>
    <w:rPr>
      <w:rFonts w:ascii="OpenSymbol" w:hAnsi="OpenSymbol" w:eastAsia="OpenSymbol" w:cs="OpenSymbol"/>
    </w:rPr>
  </w:style>
  <w:style w:type="character" w:customStyle="1" w:styleId="25">
    <w:name w:val="Символ нумерации"/>
    <w:qFormat/>
    <w:uiPriority w:val="0"/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7">
    <w:name w:val="Колонтитул"/>
    <w:basedOn w:val="1"/>
    <w:qFormat/>
    <w:uiPriority w:val="0"/>
  </w:style>
  <w:style w:type="paragraph" w:customStyle="1" w:styleId="28">
    <w:name w:val="Колонтитулы"/>
    <w:basedOn w:val="1"/>
    <w:qFormat/>
    <w:uiPriority w:val="0"/>
  </w:style>
  <w:style w:type="paragraph" w:customStyle="1" w:styleId="29">
    <w:name w:val="Header and Footer"/>
    <w:basedOn w:val="1"/>
    <w:qFormat/>
    <w:uiPriority w:val="0"/>
  </w:style>
  <w:style w:type="paragraph" w:styleId="30">
    <w:name w:val="List Paragraph"/>
    <w:basedOn w:val="1"/>
    <w:qFormat/>
    <w:uiPriority w:val="34"/>
    <w:pPr>
      <w:spacing w:before="0" w:after="200"/>
      <w:ind w:left="720" w:firstLine="0"/>
      <w:contextualSpacing/>
    </w:pPr>
  </w:style>
  <w:style w:type="paragraph" w:customStyle="1" w:styleId="3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32">
    <w:name w:val="Заголовок таблицы"/>
    <w:basedOn w:val="31"/>
    <w:qFormat/>
    <w:uiPriority w:val="0"/>
    <w:pPr>
      <w:suppressLineNumbers/>
      <w:jc w:val="center"/>
    </w:pPr>
    <w:rPr>
      <w:b/>
      <w:bCs/>
    </w:rPr>
  </w:style>
  <w:style w:type="paragraph" w:styleId="33">
    <w:name w:val="Intense Quote"/>
    <w:basedOn w:val="1"/>
    <w:qFormat/>
    <w:uiPriority w:val="0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Times New Roman" w:cs="Times New Roman"/>
      <w:b/>
      <w:bCs/>
      <w:i/>
      <w:iCs/>
      <w:color w:val="4F81BD"/>
    </w:rPr>
  </w:style>
  <w:style w:type="paragraph" w:customStyle="1" w:styleId="34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table" w:customStyle="1" w:styleId="35">
    <w:name w:val="Список-таблица 4 — акцент 51"/>
    <w:basedOn w:val="7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36">
    <w:name w:val="Таблица-сетка 4 — акцент 11"/>
    <w:basedOn w:val="7"/>
    <w:uiPriority w:val="4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1732</Characters>
  <Paragraphs>16</Paragraphs>
  <TotalTime>122</TotalTime>
  <ScaleCrop>false</ScaleCrop>
  <LinksUpToDate>false</LinksUpToDate>
  <CharactersWithSpaces>2087</CharactersWithSpaces>
  <Application>WPS Office_11.2.0.9984_F1E327BC-269C-435d-A152-05C5408002CA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2026-03-20T07:40:38Z</dcterms:created>
  <dc:creator>TrofimovAV</dc:creator>
  <cp:lastModifiedBy>TrofimovAV</cp:lastModifiedBy>
  <dcterms:modified xsi:type="dcterms:W3CDTF">2026-03-20T07:41:54Z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