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0" w:firstLine="0"/>
        <w:jc w:val="left"/>
        <w:rPr>
          <w:rFonts w:ascii="Tahoma" w:hAnsi="Tahoma" w:eastAsia="Tahoma" w:cs="Tahoma"/>
          <w:b w:val="0"/>
          <w:i w:val="0"/>
          <w:strike w:val="0"/>
          <w:sz w:val="20"/>
        </w:rPr>
      </w:pPr>
      <w:r>
        <w:rPr>
          <w:rFonts w:ascii="Tahoma" w:hAnsi="Tahoma" w:eastAsia="Tahoma" w:cs="Tahoma"/>
          <w:b w:val="0"/>
          <w:i w:val="0"/>
          <w:strike w:val="0"/>
          <w:sz w:val="20"/>
        </w:rPr>
        <w:t xml:space="preserve">Документ предоставлен </w:t>
      </w:r>
      <w:hyperlink r:id="rId8">
        <w:r>
          <w:rPr>
            <w:rFonts w:ascii="Tahoma" w:hAnsi="Tahoma" w:eastAsia="Tahoma" w:cs="Tahoma"/>
            <w:b w:val="0"/>
            <w:i w:val="0"/>
            <w:strike w:val="0"/>
            <w:color w:val="0000ff"/>
            <w:sz w:val="20"/>
          </w:rPr>
          <w:t xml:space="preserve">КонсультантПлюс</w:t>
        </w:r>
      </w:hyperlink>
      <w:r>
        <w:rPr>
          <w:rFonts w:ascii="Tahoma" w:hAnsi="Tahoma" w:eastAsia="Tahoma" w:cs="Tahoma"/>
          <w:b w:val="0"/>
          <w:i w:val="0"/>
          <w:strike w:val="0"/>
          <w:sz w:val="20"/>
        </w:rPr>
        <w:br/>
      </w:r>
    </w:p>
    <w:p>
      <w:pPr>
        <w:spacing w:before="0" w:after="0" w:line="240" w:lineRule="auto"/>
        <w:ind w:left="0" w:firstLine="0"/>
        <w:jc w:val="both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outlineLvl w:val="0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АДМИНИСТРАЦИЯ БЕЛОЯРСКОГО РАЙОНА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ПОСТАНОВЛЕНИЕ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от 5 марта 2015 г. N 233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ОБ УТВЕРЖДЕНИИ ПОРЯДКА ОПРЕДЕЛЕНИЯ РАЗМЕРА АРЕНДНОЙ ПЛАТЫ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ЗА ЗЕМЕЛЬНЫЕ УЧАСТКИ, НАХОДЯЩИЕСЯ В СОБСТВЕННОСТИ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МУНИЦИПАЛЬНОГО ОБРАЗОВАНИЯ БЕЛОЯРСКИЙ РАЙОН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И ПРЕДОСТАВЛЕННЫЕ В АРЕНДУ БЕЗ ТОРГОВ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Администрации Белоярского района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18.10.2016 </w:t>
            </w:r>
            <w:hyperlink r:id="rId9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1059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10.04.2023 </w:t>
            </w:r>
            <w:hyperlink r:id="rId10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228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16.12.2024 </w:t>
            </w:r>
            <w:hyperlink r:id="rId11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897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соответствии с </w:t>
      </w:r>
      <w:hyperlink r:id="rId12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подпунктом 3 пункта 3 статьи 39.7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Земельного кодекса Российской Федерации от 25 октября 2001 года N 136-ФЗ, </w:t>
      </w:r>
      <w:hyperlink r:id="rId13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6 статьи 41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Бюджетного кодекса Российской Федерации от 31 июля 1998 года N 145-ФЗ, </w:t>
      </w:r>
      <w:hyperlink r:id="rId14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Постановлением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Правительства Российской Федерации от 16 июля 2009 года N 582 "Об основных принципах определения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Федерации" постановляю: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Утвердить прилагаемый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Порядок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Настоящее постановление вступает в силу с 01 марта 2015 года.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Опубликовать настоящее постановление в газете "Белоярские вести. Официальный выпуск".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Контроль за выполнением постановления возложить на заместителя главы Белоярского района Ващука В.А.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Глава Белоярского района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С.П.МАНЕНКОВ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right"/>
        <w:outlineLvl w:val="0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Утвержден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постановлением администрации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Белоярского района</w:t>
      </w:r>
    </w:p>
    <w:p>
      <w:pPr>
        <w:spacing w:before="0" w:after="0" w:line="240" w:lineRule="auto"/>
        <w:ind w:left="0" w:firstLine="0"/>
        <w:jc w:val="right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от 5 марта 2015 года N 233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bookmarkStart w:id="1" w:name="Par32"/>
      <w:bookmarkEnd w:id="1"/>
      <w:r>
        <w:rPr>
          <w:rFonts w:ascii="Arial" w:hAnsi="Arial" w:eastAsia="Arial" w:cs="Arial"/>
          <w:b/>
          <w:i w:val="0"/>
          <w:strike w:val="0"/>
          <w:sz w:val="16"/>
        </w:rPr>
        <w:t xml:space="preserve">ПОРЯДОК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ОПРЕДЕЛЕНИЯ РАЗМЕРА АРЕНДНОЙ ПЛАТЫ ЗА ЗЕМЕЛЬНЫЕ УЧАСТКИ,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НАХОДЯЩИЕСЯ В СОБСТВЕННОСТИ МУНИЦИПАЛЬНОГО ОБРАЗОВАНИЯ</w:t>
      </w:r>
    </w:p>
    <w:p>
      <w:pPr>
        <w:spacing w:before="0" w:after="0" w:line="240" w:lineRule="auto"/>
        <w:ind w:left="0" w:firstLine="0"/>
        <w:jc w:val="center"/>
        <w:rPr>
          <w:rFonts w:ascii="Arial" w:hAnsi="Arial" w:eastAsia="Arial" w:cs="Arial"/>
          <w:b/>
          <w:i w:val="0"/>
          <w:strike w:val="0"/>
          <w:sz w:val="16"/>
        </w:rPr>
      </w:pPr>
      <w:r>
        <w:rPr>
          <w:rFonts w:ascii="Arial" w:hAnsi="Arial" w:eastAsia="Arial" w:cs="Arial"/>
          <w:b/>
          <w:i w:val="0"/>
          <w:strike w:val="0"/>
          <w:sz w:val="16"/>
        </w:rPr>
        <w:t xml:space="preserve">БЕЛОЯРСКИЙ РАЙОН И ПРЕДОСТАВЛЕННЫЕ В АРЕНДУ БЕЗ ТОРГОВ</w:t>
      </w:r>
    </w:p>
    <w:p>
      <w:pPr>
        <w:spacing w:before="0" w:after="0" w:line="240" w:lineRule="auto"/>
        <w:jc w:val="left"/>
        <w:rPr>
          <w:sz w:val="24"/>
        </w:rPr>
      </w:pP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fill="f4f3f8"/>
        <w:tblLayout w:type="autofit"/>
        <w:tblCellMar>
          <w:left w:w="0" w:type="dxa"/>
          <w:right w:w="0" w:type="dxa"/>
        </w:tblCellMar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jc w:val="left"/>
              <w:rPr>
                <w:sz w:val="24"/>
              </w:rPr>
            </w:pPr>
          </w:p>
        </w:tc>
        <w:tc>
          <w:tcPr>
            <w:tcW w:w="9921" w:type="dxa"/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Список изменяющих документов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(в ред. постановлений Администрации Белоярского района</w:t>
            </w:r>
          </w:p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от 18.10.2016 </w:t>
            </w:r>
            <w:hyperlink r:id="rId15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1059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10.04.2023 </w:t>
            </w:r>
            <w:hyperlink r:id="rId16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228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, от 16.12.2024 </w:t>
            </w:r>
            <w:hyperlink r:id="rId17">
              <w:r>
                <w:rPr>
                  <w:rFonts w:ascii="Arial" w:hAnsi="Arial" w:eastAsia="Arial" w:cs="Arial"/>
                  <w:b w:val="0"/>
                  <w:i w:val="0"/>
                  <w:strike w:val="0"/>
                  <w:color w:val="0000ff"/>
                  <w:sz w:val="16"/>
                </w:rPr>
                <w:t xml:space="preserve">N 897</w:t>
              </w:r>
            </w:hyperlink>
            <w:r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  <w:t xml:space="preserve">)</w:t>
            </w:r>
          </w:p>
        </w:tc>
        <w:tc>
          <w:tcPr>
            <w:tcW w:w="113" w:type="dxa"/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  <w:vAlign w:val="top"/>
          </w:tcPr>
          <w:p>
            <w:pPr>
              <w:spacing w:before="0" w:after="0" w:line="240" w:lineRule="auto"/>
              <w:ind w:left="0" w:firstLine="0"/>
              <w:jc w:val="center"/>
              <w:rPr>
                <w:rFonts w:ascii="Arial" w:hAnsi="Arial" w:eastAsia="Arial" w:cs="Arial"/>
                <w:b w:val="0"/>
                <w:i w:val="0"/>
                <w:strike w:val="0"/>
                <w:color w:val="392c69"/>
                <w:sz w:val="16"/>
              </w:rPr>
            </w:pPr>
          </w:p>
        </w:tc>
      </w:tr>
    </w:tbl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1. Настоящий Порядок устанавливает правила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 (далее - земельные участки), в соответствии с </w:t>
      </w:r>
      <w:hyperlink r:id="rId18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2 статьи 39.6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Земельного кодекса Российской Федерации.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2. Размер арендной платы за использование земельного участка устанавливается в договоре аренды земельного участка и, если федеральным законодательством, законодательством Ханты-Мансийского автономного округа - Югры или настоящим Порядком не предусмотрено иное, устанавливается в размере 0,01 процента кадастровой стоимости земельного участка.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(п. 2 в ред. </w:t>
      </w:r>
      <w:hyperlink r:id="rId19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постановления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Администрации Белоярского района от 16.12.2024 N 897)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3. Размер арендной платы за квартал, в котором земельный участок был передан арендатору, и квартал, в котором арендатор возвратил арендодателю земельный участок, рассчитывается по следующей формуле: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А1 = (А / 365) x Д, где: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А1 - размер арендной платы за текущий квартал аренды, руб.;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А - годовой размер арендной платы, руб.;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Д - количество дней: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 даты передачи земельного участка арендатору до последнего дня последнего месяца текущего квартала включительно (для расчета размера арендной платы за квартал, в котором земельный участок был передан арендатору);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с первого дня текущего квартала до даты возврата земельного участка включительно (для расчета размера арендной платы за квартал, в котором арендатор возвратил арендодателю земельный участок).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4. Утратил силу. - </w:t>
      </w:r>
      <w:hyperlink r:id="rId20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Постановление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Администрации Белоярского района от 16.12.2024 N 897.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2" w:name="Par53"/>
      <w:bookmarkEnd w:id="2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5. При переоформлении юридическими лицами права постоянного (бессрочного) пользования земельным участком на право аренды земельного участка, в соответствии с </w:t>
      </w:r>
      <w:hyperlink r:id="rId21"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2 статьи 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Федерального закона от 25 октября 2001 года N 137-ФЗ "О введении в действие Земельного кодекса Российской Федерации", размер арендной платы за его использование устанавливается в размере: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 процентов кадастровой стоимости арендуемого земельного участка;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0,3 процента кадастровой стоимости арендуемого земельного участка из земель сельскохозяйственного назначения;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1,5 процентов кадастровой стоимости арендуемого земельного участка, изъятого из оборота или ограниченного в обороте.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3" w:name="Par57"/>
      <w:bookmarkEnd w:id="3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6. Каждый указанный в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пункте 5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размер арендной платы не может превышать более чем в 2 раза размер земельного налога в отношении таких земельных участков.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7. В случае если размер арендной платы, определенный в процентах от кадастровой стоимости, указанный в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пункте 6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превышает в 2 раза размер земельного налога, то он устанавливается в размере, равном двукратному размеру земельного налога.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8. Порядок, условия и сроки внесения арендной платы, пени за нарушение сроков внесения арендной платы устанавливаются в договоре аренды земельного участка, с учетом положений настоящего Порядка.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9. В договоре аренды земельного участка указывается размер годовой арендной платы.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10. Арендная плата за земельный участок, если иное не установлено настоящим Порядком, вносится арендатором путем перечисления денежных средств ежеквартально до 10-го числа месяца, следующего за истекшим кварталом, при этом: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1) квартал считается равным трем календарным месяцам, отсчет кварталов ведется с начала календарного года;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2) ежеквартальный платеж за квартал, в котором земельный участок был передан арендатору, за исключением четвертого квартала, вносится до 10 числа первого месяца следующего квартала;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3) арендная плата за четвертый квартал календарного года вносится арендатором до 10 числа последнего месяца текущего календарного года;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4) арендная плата за квартал, в котором прекращается договор аренды, вносится не позднее дня прекращения договора аренды.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11. Арендатор вправе вносить платежи за аренду земельного участка досрочно.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12. При предоставлении неделимого земельного участка в аренду с множественностью лиц на стороне арендатора арендная плата за земельный участок определяется пропорционально площади занимаемых помещений в объекте недвижимого имущества, находящегося на земельном участке.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4" w:name="Par68"/>
      <w:bookmarkEnd w:id="4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13. Если иное не установлено настоящим Порядком, в договоре аренды земельного участка должно быть предусмотрено, что размер арендной платы изменяется в одностороннем порядке на основании решения арендодателя в следующих случаях: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связи с изменением категории земель;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связи с изменением кадастровой стоимости земельного участка;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в связи с изменением разрешенного использования земельного участка.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Изменение годового размера арендной платы, определенного в соответствии с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5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Порядка, может быть предусмотрено в договоре аренды земельного участка только в связи с изменением его кадастровой стоимости.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14. Арендная плата в новом размере, установленная в соответствии с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пунктом 13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 настоящего Порядка, уплачивается с первого числа первого месяца квартала, следующего за кварталом, в котором произошли такие изменения.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bookmarkStart w:id="5" w:name="Par74"/>
      <w:bookmarkEnd w:id="5"/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15. Ежегодно, но не ранее чем через год после заключения договора аренды земельного участка, арендная плата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>
      <w:pPr>
        <w:spacing w:before="160" w:after="0" w:line="240" w:lineRule="auto"/>
        <w:ind w:left="0" w:firstLine="54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16. Перерасчет размера арендной платы в связи с изменением кадастровой стоимости земельного участка осуществляется с 1 января года, следующего за годом, в котором произошло изменение кадастровой стоимости. В этом случае индексация арендной платы с учетом размера уровня инфляции, указанного в </w:t>
      </w:r>
      <w:hyperlink>
        <w:r>
          <w:rPr>
            <w:rFonts w:ascii="Arial" w:hAnsi="Arial" w:eastAsia="Arial" w:cs="Arial"/>
            <w:b w:val="0"/>
            <w:i w:val="0"/>
            <w:strike w:val="0"/>
            <w:color w:val="0000ff"/>
            <w:sz w:val="16"/>
          </w:rPr>
          <w:t xml:space="preserve">пункте 15</w:t>
        </w:r>
      </w:hyperlink>
      <w:r>
        <w:rPr>
          <w:rFonts w:ascii="Arial" w:hAnsi="Arial" w:eastAsia="Arial" w:cs="Arial"/>
          <w:b w:val="0"/>
          <w:i w:val="0"/>
          <w:strike w:val="0"/>
          <w:sz w:val="16"/>
        </w:rPr>
        <w:t xml:space="preserve">, не проводится.</w:t>
      </w: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spacing w:before="0" w:after="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16"/>
        </w:rPr>
      </w:pPr>
    </w:p>
    <w:p>
      <w:pPr>
        <w:pBdr>
          <w:top w:val="single"/>
        </w:pBdr>
        <w:spacing w:before="100" w:after="100" w:line="240" w:lineRule="auto"/>
        <w:ind w:left="0" w:firstLine="0"/>
        <w:jc w:val="both"/>
        <w:rPr>
          <w:rFonts w:ascii="Arial" w:hAnsi="Arial" w:eastAsia="Arial" w:cs="Arial"/>
          <w:b w:val="0"/>
          <w:i w:val="0"/>
          <w:strike w:val="0"/>
          <w:sz w:val="0"/>
        </w:rPr>
      </w:pPr>
    </w:p>
    <w:sectPr>
      <w:type w:val="nextPage"/>
      <w:pgSz w:w="11906" w:h="16838"/>
      <w:pgMar w:top="1440" w:right="566" w:bottom="1440" w:left="1133" w:header="0" w:footer="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       ConsPlusNormal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16"/>
    </w:rPr>
  </w:style>
  <w:style w:type="paragraph" w:styleId="Style_1">
    <w:name w:val="       ConsPlusNonforma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2">
    <w:name w:val="       ConsPlusTitle"/>
    <w:pPr>
      <w:spacing w:before="0" w:after="0" w:line="240" w:lineRule="auto"/>
      <w:jc w:val="left"/>
    </w:pPr>
    <w:rPr>
      <w:rFonts w:ascii="Arial" w:hAnsi="Arial" w:eastAsia="Arial" w:cs="Arial"/>
      <w:b/>
      <w:i w:val="0"/>
      <w:strike w:val="0"/>
      <w:sz w:val="16"/>
    </w:rPr>
  </w:style>
  <w:style w:type="paragraph" w:styleId="Style_3">
    <w:name w:val="       ConsPlusCell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20"/>
    </w:rPr>
  </w:style>
  <w:style w:type="paragraph" w:styleId="Style_4">
    <w:name w:val="       ConsPlusDocList"/>
    <w:pPr>
      <w:spacing w:before="0" w:after="0" w:line="240" w:lineRule="auto"/>
      <w:jc w:val="left"/>
    </w:pPr>
    <w:rPr>
      <w:rFonts w:ascii="Courier New" w:hAnsi="Courier New" w:eastAsia="Courier New" w:cs="Courier New"/>
      <w:b w:val="0"/>
      <w:i w:val="0"/>
      <w:strike w:val="0"/>
      <w:sz w:val="16"/>
    </w:rPr>
  </w:style>
  <w:style w:type="paragraph" w:styleId="Style_5">
    <w:name w:val="       ConsPlusTitlePage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16"/>
    </w:rPr>
  </w:style>
  <w:style w:type="paragraph" w:styleId="Style_6">
    <w:name w:val="       ConsPlusJurTerm"/>
    <w:pPr>
      <w:spacing w:before="0" w:after="0" w:line="240" w:lineRule="auto"/>
      <w:jc w:val="left"/>
    </w:pPr>
    <w:rPr>
      <w:rFonts w:ascii="Tahoma" w:hAnsi="Tahoma" w:eastAsia="Tahoma" w:cs="Tahoma"/>
      <w:b w:val="0"/>
      <w:i w:val="0"/>
      <w:strike w:val="0"/>
      <w:sz w:val="26"/>
    </w:rPr>
  </w:style>
  <w:style w:type="paragraph" w:styleId="Style_7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  <w:style w:type="paragraph" w:styleId="Style_8">
    <w:name w:val="       ConsPlusTextList"/>
    <w:pPr>
      <w:spacing w:before="0" w:after="0" w:line="240" w:lineRule="auto"/>
      <w:jc w:val="left"/>
    </w:pPr>
    <w:rPr>
      <w:rFonts w:ascii="Arial" w:hAnsi="Arial" w:eastAsia="Arial" w:cs="Arial"/>
      <w:b w:val="0"/>
      <w:i w:val="0"/>
      <w:strike w:val="0"/>
      <w:sz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926&amp;n=140689&amp;dst=100005" TargetMode="External"/><Relationship Id="rId10" Type="http://schemas.openxmlformats.org/officeDocument/2006/relationships/hyperlink" Target="https://login.consultant.ru/link/?req=doc&amp;base=RLAW926&amp;n=277337&amp;dst=100005" TargetMode="External"/><Relationship Id="rId11" Type="http://schemas.openxmlformats.org/officeDocument/2006/relationships/hyperlink" Target="https://login.consultant.ru/link/?req=doc&amp;base=RLAW926&amp;n=314437&amp;dst=100005" TargetMode="External"/><Relationship Id="rId12" Type="http://schemas.openxmlformats.org/officeDocument/2006/relationships/hyperlink" Target="https://login.consultant.ru/link/?req=doc&amp;base=LAW&amp;n=511408&amp;dst=519" TargetMode="External"/><Relationship Id="rId13" Type="http://schemas.openxmlformats.org/officeDocument/2006/relationships/hyperlink" Target="https://login.consultant.ru/link/?req=doc&amp;base=LAW&amp;n=511241&amp;dst=3963" TargetMode="External"/><Relationship Id="rId14" Type="http://schemas.openxmlformats.org/officeDocument/2006/relationships/hyperlink" Target="https://login.consultant.ru/link/?req=doc&amp;base=LAW&amp;n=479540" TargetMode="External"/><Relationship Id="rId15" Type="http://schemas.openxmlformats.org/officeDocument/2006/relationships/hyperlink" Target="https://login.consultant.ru/link/?req=doc&amp;base=RLAW926&amp;n=140689&amp;dst=100005" TargetMode="External"/><Relationship Id="rId16" Type="http://schemas.openxmlformats.org/officeDocument/2006/relationships/hyperlink" Target="https://login.consultant.ru/link/?req=doc&amp;base=RLAW926&amp;n=277337&amp;dst=100005" TargetMode="External"/><Relationship Id="rId17" Type="http://schemas.openxmlformats.org/officeDocument/2006/relationships/hyperlink" Target="https://login.consultant.ru/link/?req=doc&amp;base=RLAW926&amp;n=314437&amp;dst=100005" TargetMode="External"/><Relationship Id="rId18" Type="http://schemas.openxmlformats.org/officeDocument/2006/relationships/hyperlink" Target="https://login.consultant.ru/link/?req=doc&amp;base=LAW&amp;n=511408&amp;dst=467" TargetMode="External"/><Relationship Id="rId19" Type="http://schemas.openxmlformats.org/officeDocument/2006/relationships/hyperlink" Target="https://login.consultant.ru/link/?req=doc&amp;base=RLAW926&amp;n=314437&amp;dst=100006" TargetMode="External"/><Relationship Id="rId20" Type="http://schemas.openxmlformats.org/officeDocument/2006/relationships/hyperlink" Target="https://login.consultant.ru/link/?req=doc&amp;base=RLAW926&amp;n=314437&amp;dst=100008" TargetMode="External"/><Relationship Id="rId21" Type="http://schemas.openxmlformats.org/officeDocument/2006/relationships/hyperlink" Target="https://login.consultant.ru/link/?req=doc&amp;base=LAW&amp;n=501326&amp;dst=9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05.03.2015 N 233(ред. от 16.12.2024)&amp;quot;Об утверждении Порядка определения размера арендной платы за земельные участки, находящиеся в собственности муниципального образования Белоярский район и предоставленные в аренду без торгов&amp;quot;</dc:title>
  <dc:creator/>
  <cp:lastModifiedBy>Econ2</cp:lastModifiedBy>
</cp:coreProperties>
</file>