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 приложение к постановлению администрации Белоярского района от 06.02.2020 года №103»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июня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2022-05-31T07:06:18Z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DE50B33F13F944F0A12B89FF6E8821CF</vt:lpwstr>
  </property>
</Properties>
</file>