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 xml:space="preserve">15 </w:t>
      </w:r>
      <w:r>
        <w:rPr>
          <w:rFonts w:cs="Times New Roman" w:ascii="Times New Roman" w:hAnsi="Times New Roman"/>
          <w:sz w:val="24"/>
        </w:rPr>
        <w:t xml:space="preserve">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№ </w:t>
      </w:r>
      <w:r>
        <w:rPr>
          <w:rFonts w:cs="Times New Roman" w:ascii="Times New Roman" w:hAnsi="Times New Roman"/>
          <w:sz w:val="24"/>
        </w:rPr>
        <w:t>37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сельского поселения Казым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прилагаемый перечень налоговых расходов сельского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Казым</w:t>
      </w:r>
      <w:r>
        <w:rPr>
          <w:rFonts w:cs="Times New Roman" w:ascii="Times New Roman" w:hAnsi="Times New Roman"/>
          <w:sz w:val="24"/>
          <w:szCs w:val="24"/>
        </w:rPr>
        <w:t xml:space="preserve">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сельского</w:t>
      </w:r>
      <w:r>
        <w:rPr>
          <w:rFonts w:cs="Times New Roman" w:ascii="Times New Roman" w:hAnsi="Times New Roman"/>
          <w:sz w:val="24"/>
          <w:szCs w:val="24"/>
        </w:rPr>
        <w:t xml:space="preserve">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Казым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LibreOffice/7.0.0.3$Windows_x86 LibreOffice_project/8061b3e9204bef6b321a21033174034a5e2ea88e</Application>
  <Pages>1</Pages>
  <Words>178</Words>
  <Characters>1229</Characters>
  <CharactersWithSpaces>1516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2020-10-28T16:12:20Z</cp:lastPrinted>
  <dcterms:modified xsi:type="dcterms:W3CDTF">2020-10-28T16:12:26Z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