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F0" w:rsidRPr="005170F0" w:rsidRDefault="005170F0" w:rsidP="005170F0">
      <w:pPr>
        <w:pStyle w:val="ConsPlusNormal"/>
        <w:spacing w:line="276" w:lineRule="auto"/>
        <w:contextualSpacing/>
        <w:jc w:val="right"/>
        <w:outlineLvl w:val="0"/>
        <w:rPr>
          <w:sz w:val="28"/>
          <w:szCs w:val="28"/>
        </w:rPr>
      </w:pPr>
      <w:r w:rsidRPr="005170F0">
        <w:rPr>
          <w:sz w:val="28"/>
          <w:szCs w:val="28"/>
        </w:rPr>
        <w:t>Приложение 5</w:t>
      </w:r>
    </w:p>
    <w:p w:rsidR="005170F0" w:rsidRPr="005170F0" w:rsidRDefault="005170F0" w:rsidP="005170F0">
      <w:pPr>
        <w:pStyle w:val="ConsPlusNormal"/>
        <w:spacing w:line="276" w:lineRule="auto"/>
        <w:contextualSpacing/>
        <w:jc w:val="right"/>
        <w:rPr>
          <w:sz w:val="28"/>
          <w:szCs w:val="28"/>
        </w:rPr>
      </w:pPr>
      <w:r w:rsidRPr="005170F0">
        <w:rPr>
          <w:sz w:val="28"/>
          <w:szCs w:val="28"/>
        </w:rPr>
        <w:t>к постановлению</w:t>
      </w:r>
    </w:p>
    <w:p w:rsidR="005170F0" w:rsidRPr="005170F0" w:rsidRDefault="005170F0" w:rsidP="005170F0">
      <w:pPr>
        <w:pStyle w:val="ConsPlusNormal"/>
        <w:spacing w:line="276" w:lineRule="auto"/>
        <w:contextualSpacing/>
        <w:jc w:val="right"/>
        <w:rPr>
          <w:sz w:val="28"/>
          <w:szCs w:val="28"/>
        </w:rPr>
      </w:pPr>
      <w:r w:rsidRPr="005170F0">
        <w:rPr>
          <w:sz w:val="28"/>
          <w:szCs w:val="28"/>
        </w:rPr>
        <w:t>Правительства Ханты-Мансийского</w:t>
      </w:r>
    </w:p>
    <w:p w:rsidR="005170F0" w:rsidRPr="005170F0" w:rsidRDefault="005170F0" w:rsidP="005170F0">
      <w:pPr>
        <w:pStyle w:val="ConsPlusNormal"/>
        <w:spacing w:line="276" w:lineRule="auto"/>
        <w:contextualSpacing/>
        <w:jc w:val="right"/>
        <w:rPr>
          <w:sz w:val="28"/>
          <w:szCs w:val="28"/>
        </w:rPr>
      </w:pPr>
      <w:r w:rsidRPr="005170F0">
        <w:rPr>
          <w:sz w:val="28"/>
          <w:szCs w:val="28"/>
        </w:rPr>
        <w:t>автономного округа - Югры</w:t>
      </w:r>
    </w:p>
    <w:p w:rsidR="005170F0" w:rsidRPr="005170F0" w:rsidRDefault="005170F0" w:rsidP="005170F0">
      <w:pPr>
        <w:pStyle w:val="ConsPlusNormal"/>
        <w:spacing w:line="276" w:lineRule="auto"/>
        <w:contextualSpacing/>
        <w:jc w:val="right"/>
        <w:rPr>
          <w:sz w:val="28"/>
          <w:szCs w:val="28"/>
        </w:rPr>
      </w:pPr>
      <w:r w:rsidRPr="005170F0">
        <w:rPr>
          <w:sz w:val="28"/>
          <w:szCs w:val="28"/>
        </w:rPr>
        <w:t>от 5 октября 2018 года N 357-п</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Title"/>
        <w:spacing w:line="276" w:lineRule="auto"/>
        <w:contextualSpacing/>
        <w:jc w:val="center"/>
        <w:rPr>
          <w:rFonts w:ascii="Times New Roman" w:hAnsi="Times New Roman" w:cs="Times New Roman"/>
          <w:b w:val="0"/>
          <w:sz w:val="28"/>
          <w:szCs w:val="28"/>
        </w:rPr>
      </w:pPr>
      <w:bookmarkStart w:id="0" w:name="Par2190"/>
      <w:bookmarkEnd w:id="0"/>
      <w:r w:rsidRPr="005170F0">
        <w:rPr>
          <w:rFonts w:ascii="Times New Roman" w:hAnsi="Times New Roman" w:cs="Times New Roman"/>
          <w:b w:val="0"/>
          <w:sz w:val="28"/>
          <w:szCs w:val="28"/>
        </w:rPr>
        <w:t>ПОРЯДОК</w:t>
      </w:r>
    </w:p>
    <w:p w:rsidR="005170F0" w:rsidRPr="005170F0" w:rsidRDefault="005170F0" w:rsidP="005170F0">
      <w:pPr>
        <w:pStyle w:val="ConsPlusTitle"/>
        <w:spacing w:line="276" w:lineRule="auto"/>
        <w:contextualSpacing/>
        <w:jc w:val="center"/>
        <w:rPr>
          <w:rFonts w:ascii="Times New Roman" w:hAnsi="Times New Roman" w:cs="Times New Roman"/>
          <w:b w:val="0"/>
          <w:sz w:val="28"/>
          <w:szCs w:val="28"/>
        </w:rPr>
      </w:pPr>
      <w:r w:rsidRPr="005170F0">
        <w:rPr>
          <w:rFonts w:ascii="Times New Roman" w:hAnsi="Times New Roman" w:cs="Times New Roman"/>
          <w:b w:val="0"/>
          <w:sz w:val="28"/>
          <w:szCs w:val="28"/>
        </w:rPr>
        <w:t>ПРЕДОСТАВЛЕНИЯ ПРОМЫШЛЕННЫМ ПРЕДПРИЯТИЯМ ХАНТЫ-МАНСИЙСКОГО АВТОНОМНОГО ОКРУГА - ЮГРЫ СУБСИДИИ НА ВОЗМЕЩЕНИЕ ЧАСТИ ЗАТРАТ НА РЕАЛИЗАЦИЮ ИНВЕСТИЦИОННЫХ ПРОЕКТОВ ПО МОДЕРНИЗАЦИИ И ТЕХНИЧЕСКОМУ ПЕРЕВООРУЖЕНИЮ ПРОИЗВОДСТВЕННЫХ МОЩНОСТЕЙ ПРОМЫШЛЕННЫХ ПРЕДПРИЯТИЙ, СВЯЗАННЫХ С ПРИОБРЕТЕНИЕМ НОВОГО ТЕХНОЛОГИЧЕСКОГО ОБОРУДОВАНИЯ (ДАЛЕЕ - ПОРЯДОК)</w:t>
      </w:r>
    </w:p>
    <w:p w:rsidR="005170F0" w:rsidRPr="005170F0" w:rsidRDefault="005170F0" w:rsidP="005170F0">
      <w:pPr>
        <w:pStyle w:val="ConsPlusNormal"/>
        <w:spacing w:line="276" w:lineRule="auto"/>
        <w:contextualSpacing/>
        <w:rPr>
          <w:sz w:val="28"/>
          <w:szCs w:val="28"/>
        </w:rPr>
      </w:pP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shd w:val="clear" w:color="auto" w:fill="FFFFFF" w:themeFill="background1"/>
        <w:spacing w:after="0"/>
        <w:ind w:firstLine="709"/>
        <w:contextualSpacing/>
        <w:jc w:val="both"/>
        <w:rPr>
          <w:rFonts w:ascii="Times New Roman" w:hAnsi="Times New Roman" w:cs="Times New Roman"/>
          <w:sz w:val="28"/>
          <w:szCs w:val="28"/>
        </w:rPr>
      </w:pPr>
      <w:r w:rsidRPr="005170F0">
        <w:rPr>
          <w:rFonts w:ascii="Times New Roman" w:hAnsi="Times New Roman" w:cs="Times New Roman"/>
          <w:sz w:val="28"/>
          <w:szCs w:val="28"/>
        </w:rPr>
        <w:t>1.1. Порядок регламентирует процедуру отбора и предоставления из бюджета Ханты-Мансийского автономного округа - Югры (далее - автономный округ) субсидии на возмещение части затрат на реализацию инвестиционных проектов по модернизации и техническому перевооружению производственных мощностей промышленных предприятий, связанных с приобретением нового технологического оборудования (далее - субсидия), а также порядок возврата субсидии в случае нарушения условий, предусмотренных при ее предоставлении.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Субсидия предоставляется с целью стимулирования модернизации действующих производств автономного округа путем предоставления промышленным предприятиям субсидий на возмещение части затрат на реализацию инвестиционных проектов по модернизации и техническому перевооружению производственных мощностей промышленных предприятий, связанных с приобретением нового технологического оборудования.</w:t>
      </w:r>
    </w:p>
    <w:p w:rsidR="005170F0" w:rsidRPr="005170F0" w:rsidRDefault="005170F0" w:rsidP="005170F0">
      <w:pPr>
        <w:pStyle w:val="ConsPlusNormal"/>
        <w:spacing w:line="276" w:lineRule="auto"/>
        <w:ind w:firstLine="540"/>
        <w:contextualSpacing/>
        <w:jc w:val="both"/>
        <w:rPr>
          <w:sz w:val="28"/>
          <w:szCs w:val="28"/>
        </w:rPr>
      </w:pPr>
      <w:bookmarkStart w:id="1" w:name="Par2206"/>
      <w:bookmarkEnd w:id="1"/>
      <w:r w:rsidRPr="005170F0">
        <w:rPr>
          <w:sz w:val="28"/>
          <w:szCs w:val="28"/>
        </w:rPr>
        <w:t xml:space="preserve">1.2. Порядок разработан в соответствии с Бюджетным </w:t>
      </w:r>
      <w:hyperlink r:id="rId4">
        <w:r w:rsidRPr="005170F0">
          <w:rPr>
            <w:rStyle w:val="ListLabel1"/>
            <w:color w:val="auto"/>
            <w:sz w:val="28"/>
            <w:szCs w:val="28"/>
          </w:rPr>
          <w:t>кодексом</w:t>
        </w:r>
      </w:hyperlink>
      <w:r w:rsidRPr="005170F0">
        <w:rPr>
          <w:sz w:val="28"/>
          <w:szCs w:val="28"/>
        </w:rPr>
        <w:t xml:space="preserve"> Российской Федерации, </w:t>
      </w:r>
      <w:hyperlink r:id="rId5">
        <w:r w:rsidRPr="005170F0">
          <w:rPr>
            <w:rStyle w:val="ListLabel1"/>
            <w:color w:val="auto"/>
            <w:sz w:val="28"/>
            <w:szCs w:val="28"/>
          </w:rPr>
          <w:t>постановлением</w:t>
        </w:r>
      </w:hyperlink>
      <w:r w:rsidRPr="005170F0">
        <w:rPr>
          <w:sz w:val="28"/>
          <w:szCs w:val="28"/>
        </w:rPr>
        <w:t xml:space="preserve"> Правительства Российской Федерации от 15 марта 2016 года N 194 "Об утверждении Правил предоставления субсидий из федерального бюджета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 </w:t>
      </w:r>
      <w:hyperlink r:id="rId6">
        <w:r w:rsidRPr="005170F0">
          <w:rPr>
            <w:rStyle w:val="ListLabel1"/>
            <w:color w:val="auto"/>
            <w:sz w:val="28"/>
            <w:szCs w:val="28"/>
          </w:rPr>
          <w:t>постановлением</w:t>
        </w:r>
      </w:hyperlink>
      <w:r w:rsidRPr="005170F0">
        <w:rPr>
          <w:sz w:val="28"/>
          <w:szCs w:val="28"/>
        </w:rPr>
        <w:t xml:space="preserve"> Правительства </w:t>
      </w:r>
      <w:r w:rsidRPr="005170F0">
        <w:rPr>
          <w:sz w:val="28"/>
          <w:szCs w:val="28"/>
        </w:rPr>
        <w:lastRenderedPageBreak/>
        <w:t xml:space="preserve">Российской Федерации от 6 сентября 2016 года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реализации основного мероприятия 1.4. Региональный проект "Промышленный экспорт" </w:t>
      </w:r>
      <w:hyperlink w:anchor="Par378" w:tgtFrame="Подпрограмма 1. Развитие обрабатывающей промышленности">
        <w:r w:rsidRPr="005170F0">
          <w:rPr>
            <w:rStyle w:val="ListLabel1"/>
            <w:color w:val="auto"/>
            <w:sz w:val="28"/>
            <w:szCs w:val="28"/>
          </w:rPr>
          <w:t>подпрограммы 1</w:t>
        </w:r>
      </w:hyperlink>
      <w:r w:rsidRPr="005170F0">
        <w:rPr>
          <w:sz w:val="28"/>
          <w:szCs w:val="28"/>
        </w:rPr>
        <w:t xml:space="preserve"> "Развитие обрабатывающей промышленности" государственной программы.</w:t>
      </w:r>
    </w:p>
    <w:p w:rsidR="005170F0" w:rsidRPr="005170F0" w:rsidRDefault="005170F0" w:rsidP="005170F0">
      <w:pPr>
        <w:pStyle w:val="ConsPlusNormal"/>
        <w:spacing w:line="276" w:lineRule="auto"/>
        <w:ind w:firstLine="540"/>
        <w:contextualSpacing/>
        <w:jc w:val="both"/>
        <w:rPr>
          <w:sz w:val="28"/>
          <w:szCs w:val="28"/>
        </w:rPr>
      </w:pPr>
      <w:bookmarkStart w:id="2" w:name="Par2208"/>
      <w:bookmarkEnd w:id="2"/>
      <w:r w:rsidRPr="005170F0">
        <w:rPr>
          <w:sz w:val="28"/>
          <w:szCs w:val="28"/>
        </w:rPr>
        <w:t xml:space="preserve">1.3. Право на получение субсидии имеют </w:t>
      </w:r>
      <w:r w:rsidRPr="005170F0">
        <w:rPr>
          <w:kern w:val="0"/>
          <w:sz w:val="28"/>
          <w:szCs w:val="28"/>
        </w:rPr>
        <w:t>юридические лица (за исключением государственных (муниципальных) учреждений), индивидуальные предприниматели (далее - предприятие)</w:t>
      </w:r>
      <w:r w:rsidRPr="005170F0">
        <w:rPr>
          <w:sz w:val="28"/>
          <w:szCs w:val="28"/>
        </w:rPr>
        <w:t>, отвечающие по состоянию на 1 число месяца</w:t>
      </w:r>
      <w:bookmarkStart w:id="3" w:name="_GoBack"/>
      <w:r w:rsidRPr="003700CE">
        <w:rPr>
          <w:sz w:val="28"/>
          <w:szCs w:val="28"/>
        </w:rPr>
        <w:t xml:space="preserve">, </w:t>
      </w:r>
      <w:bookmarkEnd w:id="3"/>
      <w:r w:rsidRPr="005170F0">
        <w:rPr>
          <w:sz w:val="28"/>
          <w:szCs w:val="28"/>
        </w:rPr>
        <w:t>подачи документов на предоставление субсидии, следующим требованиям: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реализовавшие не ранее чем в течение года, предшествующего текущему финансовому году, инвестиционный проект в сфере обрабатывающей промышленности с объемом инвестиций не менее 20,0 млн. рублей, срок реализации - не более 3 лет;</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относящиеся к субъектам, осуществляющим деятельность по следующим видам: </w:t>
      </w:r>
      <w:hyperlink r:id="rId7">
        <w:r w:rsidRPr="005170F0">
          <w:rPr>
            <w:rStyle w:val="ListLabel1"/>
            <w:color w:val="auto"/>
            <w:sz w:val="28"/>
            <w:szCs w:val="28"/>
          </w:rPr>
          <w:t>группировки 10</w:t>
        </w:r>
      </w:hyperlink>
      <w:r w:rsidRPr="005170F0">
        <w:rPr>
          <w:sz w:val="28"/>
          <w:szCs w:val="28"/>
        </w:rPr>
        <w:t xml:space="preserve">, </w:t>
      </w:r>
      <w:hyperlink r:id="rId8">
        <w:r w:rsidRPr="005170F0">
          <w:rPr>
            <w:rStyle w:val="ListLabel1"/>
            <w:color w:val="auto"/>
            <w:sz w:val="28"/>
            <w:szCs w:val="28"/>
          </w:rPr>
          <w:t>11</w:t>
        </w:r>
      </w:hyperlink>
      <w:r w:rsidRPr="005170F0">
        <w:rPr>
          <w:sz w:val="28"/>
          <w:szCs w:val="28"/>
        </w:rPr>
        <w:t xml:space="preserve">, </w:t>
      </w:r>
      <w:hyperlink r:id="rId9">
        <w:r w:rsidRPr="005170F0">
          <w:rPr>
            <w:rStyle w:val="ListLabel1"/>
            <w:color w:val="auto"/>
            <w:sz w:val="28"/>
            <w:szCs w:val="28"/>
          </w:rPr>
          <w:t>13</w:t>
        </w:r>
      </w:hyperlink>
      <w:r w:rsidRPr="005170F0">
        <w:rPr>
          <w:sz w:val="28"/>
          <w:szCs w:val="28"/>
        </w:rPr>
        <w:t xml:space="preserve"> - </w:t>
      </w:r>
      <w:hyperlink r:id="rId10">
        <w:r w:rsidRPr="005170F0">
          <w:rPr>
            <w:rStyle w:val="ListLabel1"/>
            <w:color w:val="auto"/>
            <w:sz w:val="28"/>
            <w:szCs w:val="28"/>
          </w:rPr>
          <w:t>17</w:t>
        </w:r>
      </w:hyperlink>
      <w:r w:rsidRPr="005170F0">
        <w:rPr>
          <w:sz w:val="28"/>
          <w:szCs w:val="28"/>
        </w:rPr>
        <w:t xml:space="preserve">, </w:t>
      </w:r>
      <w:hyperlink r:id="rId11">
        <w:r w:rsidRPr="005170F0">
          <w:rPr>
            <w:rStyle w:val="ListLabel1"/>
            <w:color w:val="auto"/>
            <w:sz w:val="28"/>
            <w:szCs w:val="28"/>
          </w:rPr>
          <w:t>19</w:t>
        </w:r>
      </w:hyperlink>
      <w:r w:rsidRPr="005170F0">
        <w:rPr>
          <w:sz w:val="28"/>
          <w:szCs w:val="28"/>
        </w:rPr>
        <w:t xml:space="preserve"> - </w:t>
      </w:r>
      <w:hyperlink r:id="rId12">
        <w:r w:rsidRPr="005170F0">
          <w:rPr>
            <w:rStyle w:val="ListLabel1"/>
            <w:color w:val="auto"/>
            <w:sz w:val="28"/>
            <w:szCs w:val="28"/>
          </w:rPr>
          <w:t>33 раздела С</w:t>
        </w:r>
      </w:hyperlink>
      <w:r w:rsidRPr="005170F0">
        <w:rPr>
          <w:sz w:val="28"/>
          <w:szCs w:val="28"/>
        </w:rPr>
        <w:t xml:space="preserve"> "Обрабатывающие производства", </w:t>
      </w:r>
      <w:hyperlink r:id="rId13">
        <w:r w:rsidRPr="005170F0">
          <w:rPr>
            <w:rStyle w:val="ListLabel1"/>
            <w:color w:val="auto"/>
            <w:sz w:val="28"/>
            <w:szCs w:val="28"/>
          </w:rPr>
          <w:t>38.32 раздела Е</w:t>
        </w:r>
      </w:hyperlink>
      <w:r w:rsidRPr="005170F0">
        <w:rPr>
          <w:sz w:val="28"/>
          <w:szCs w:val="28"/>
        </w:rPr>
        <w:t xml:space="preserve"> "Водоснабжение; Водоотведение, организация сбора и утилизации отходов, деятельность по ликвидации загрязнений" Общероссийского классификатора видов экономической деятельности ОК 029-2014, утвержденного приказом </w:t>
      </w:r>
      <w:proofErr w:type="spellStart"/>
      <w:r w:rsidRPr="005170F0">
        <w:rPr>
          <w:sz w:val="28"/>
          <w:szCs w:val="28"/>
        </w:rPr>
        <w:t>Росстандарта</w:t>
      </w:r>
      <w:proofErr w:type="spellEnd"/>
      <w:r w:rsidRPr="005170F0">
        <w:rPr>
          <w:sz w:val="28"/>
          <w:szCs w:val="28"/>
        </w:rPr>
        <w:t xml:space="preserve"> от 31 января 2014 года N 14-ст;</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не являющиеся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поставленные на налоговый учет в автономном округе и осуществляющие свою деятельность на его территории;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w:t>
      </w:r>
      <w:r w:rsidRPr="005170F0">
        <w:rPr>
          <w:sz w:val="28"/>
          <w:szCs w:val="28"/>
        </w:rPr>
        <w:lastRenderedPageBreak/>
        <w:t>качестве индивидуальных предпринимателей</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не имеющие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не имеющие просроченной задолженности по возврату в бюджет автономного округа субсидий, бюджетных инвестиций и иной просроченной задолженности, не применяющие льготный режим налогообложения;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не получающие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hyperlink w:anchor="Par2206" w:tgtFrame="1.2. Порядок разработан в соответствии с Бюджетным кодексом Российской Федерации, постановлением Правительства Российской Федерации от 15 марта 2016 года N 194 \&quot;Об утверждении Правил предоставления субсидий из федерального бюджета бюджетам субъектов Росс">
        <w:r w:rsidRPr="005170F0">
          <w:rPr>
            <w:rStyle w:val="ListLabel1"/>
            <w:color w:val="auto"/>
            <w:sz w:val="28"/>
            <w:szCs w:val="28"/>
          </w:rPr>
          <w:t>пункте 1.2</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предусмотревшие в технико-экономическом обосновании инвестиционного проекта создание новых высокопроизводительных рабочих мест в организации.</w:t>
      </w:r>
    </w:p>
    <w:p w:rsidR="005170F0" w:rsidRPr="005170F0" w:rsidRDefault="005170F0" w:rsidP="005170F0">
      <w:pPr>
        <w:pStyle w:val="ConsPlusNormal"/>
        <w:spacing w:line="276" w:lineRule="auto"/>
        <w:ind w:firstLine="540"/>
        <w:contextualSpacing/>
        <w:jc w:val="both"/>
        <w:rPr>
          <w:sz w:val="28"/>
          <w:szCs w:val="28"/>
        </w:rPr>
      </w:pPr>
      <w:bookmarkStart w:id="4" w:name="Par2219"/>
      <w:bookmarkEnd w:id="4"/>
      <w:r w:rsidRPr="005170F0">
        <w:rPr>
          <w:sz w:val="28"/>
          <w:szCs w:val="28"/>
        </w:rPr>
        <w:t>1.4. В соответствии с Порядком не предоставляется субсидия промышленным предприятиям автономного округа, если к финансированию представлены:</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расходы, связанные с производством подакцизных товаров;</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расходы по инвестиционному проекту, по которому ранее уже предоставлена финансовая поддержка из бюджета автономного округа в соответствии с порядками, приведенными в </w:t>
      </w:r>
      <w:hyperlink w:anchor="Par2046" w:tgtFrame="ПОРЯДОК">
        <w:r w:rsidRPr="005170F0">
          <w:rPr>
            <w:rStyle w:val="ListLabel1"/>
            <w:color w:val="auto"/>
            <w:sz w:val="28"/>
            <w:szCs w:val="28"/>
          </w:rPr>
          <w:t>приложениях 4</w:t>
        </w:r>
      </w:hyperlink>
      <w:r w:rsidRPr="005170F0">
        <w:rPr>
          <w:sz w:val="28"/>
          <w:szCs w:val="28"/>
        </w:rPr>
        <w:t xml:space="preserve">, </w:t>
      </w:r>
      <w:hyperlink w:anchor="Par2340" w:tgtFrame="ПОРЯДОК">
        <w:r w:rsidRPr="005170F0">
          <w:rPr>
            <w:rStyle w:val="ListLabel1"/>
            <w:color w:val="auto"/>
            <w:sz w:val="28"/>
            <w:szCs w:val="28"/>
          </w:rPr>
          <w:t>6</w:t>
        </w:r>
      </w:hyperlink>
      <w:r w:rsidRPr="005170F0">
        <w:rPr>
          <w:sz w:val="28"/>
          <w:szCs w:val="28"/>
        </w:rPr>
        <w:t xml:space="preserve"> - </w:t>
      </w:r>
      <w:hyperlink w:anchor="Par2489" w:tgtFrame="ПОРЯДОК">
        <w:r w:rsidRPr="005170F0">
          <w:rPr>
            <w:rStyle w:val="ListLabel1"/>
            <w:color w:val="auto"/>
            <w:sz w:val="28"/>
            <w:szCs w:val="28"/>
          </w:rPr>
          <w:t>7</w:t>
        </w:r>
      </w:hyperlink>
      <w:r w:rsidRPr="005170F0">
        <w:rPr>
          <w:sz w:val="28"/>
          <w:szCs w:val="28"/>
        </w:rPr>
        <w:t xml:space="preserve">, </w:t>
      </w:r>
      <w:hyperlink w:anchor="Par2737" w:tgtFrame="ПОРЯДОК">
        <w:r w:rsidRPr="005170F0">
          <w:rPr>
            <w:rStyle w:val="ListLabel1"/>
            <w:color w:val="auto"/>
            <w:sz w:val="28"/>
            <w:szCs w:val="28"/>
          </w:rPr>
          <w:t>9</w:t>
        </w:r>
      </w:hyperlink>
      <w:r w:rsidRPr="005170F0">
        <w:rPr>
          <w:sz w:val="28"/>
          <w:szCs w:val="28"/>
        </w:rPr>
        <w:t xml:space="preserve"> к постановлению Правительства Ханты-Мансийского автономного округа - Югры от 5 октября 2018 года N 357-п.</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1.5. Главным распорядителем бюджетных средств является Департамент промышленности автономного округа (далее - Департамент), до которого как до получателя бюджетных средств доведены лимиты бюджетных обязательств на предоставление субсидии на соответствующий финансовый год.</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1.6. Субсидия предоставляется предприятиям, указанным в </w:t>
      </w:r>
      <w:hyperlink w:anchor="Par2208" w:tgtFrame="1.3. Право на получение субсидии имеет предприятие, отвечающее по состоянию на 1 число месяца, предшествующего месяцу подачи документов на предоставление субсидии, следующим требованиям:">
        <w:r w:rsidRPr="005170F0">
          <w:rPr>
            <w:rStyle w:val="ListLabel1"/>
            <w:color w:val="auto"/>
            <w:sz w:val="28"/>
            <w:szCs w:val="28"/>
          </w:rPr>
          <w:t>пункте 1.3</w:t>
        </w:r>
      </w:hyperlink>
      <w:r w:rsidRPr="005170F0">
        <w:rPr>
          <w:sz w:val="28"/>
          <w:szCs w:val="28"/>
        </w:rPr>
        <w:t xml:space="preserve"> Порядка, в пределах лимитов бюджетных обязательств, предусмотренных на реализацию государственной программы, в том числе по соглашениям между Правительством автономного округа и Министерством промышленности и торговли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 в рамках мероприятий региональных программ, на очередной финансовый год и плановый период.</w:t>
      </w:r>
    </w:p>
    <w:p w:rsidR="005170F0" w:rsidRPr="005170F0" w:rsidRDefault="005170F0" w:rsidP="005170F0">
      <w:pPr>
        <w:pStyle w:val="ConsPlusNormal"/>
        <w:spacing w:line="276" w:lineRule="auto"/>
        <w:ind w:firstLine="540"/>
        <w:contextualSpacing/>
        <w:jc w:val="both"/>
        <w:rPr>
          <w:sz w:val="28"/>
          <w:szCs w:val="28"/>
        </w:rPr>
      </w:pPr>
      <w:bookmarkStart w:id="5" w:name="Par2224"/>
      <w:bookmarkEnd w:id="5"/>
      <w:r w:rsidRPr="005170F0">
        <w:rPr>
          <w:sz w:val="28"/>
          <w:szCs w:val="28"/>
        </w:rPr>
        <w:t xml:space="preserve">1.7. К возмещению принимаются затраты на покупку нового </w:t>
      </w:r>
      <w:r w:rsidRPr="005170F0">
        <w:rPr>
          <w:sz w:val="28"/>
          <w:szCs w:val="28"/>
        </w:rPr>
        <w:lastRenderedPageBreak/>
        <w:t>технологического оборудования, произведенные по безналичному расчету и подтвержденные соответствующими платежными документами, понесенные в течение не более 2 лет, предшествующих текущему финансовому году.</w:t>
      </w:r>
    </w:p>
    <w:p w:rsidR="005170F0" w:rsidRPr="005170F0" w:rsidRDefault="005170F0" w:rsidP="005170F0">
      <w:pPr>
        <w:pStyle w:val="ConsPlusNormal"/>
        <w:spacing w:line="276" w:lineRule="auto"/>
        <w:ind w:firstLine="540"/>
        <w:contextualSpacing/>
        <w:jc w:val="both"/>
        <w:rPr>
          <w:sz w:val="28"/>
          <w:szCs w:val="28"/>
        </w:rPr>
      </w:pPr>
      <w:bookmarkStart w:id="6" w:name="Par2225"/>
      <w:bookmarkEnd w:id="6"/>
      <w:r w:rsidRPr="005170F0">
        <w:rPr>
          <w:sz w:val="28"/>
          <w:szCs w:val="28"/>
        </w:rPr>
        <w:t>1.8. Субсидия не предоставляется на возмещение затрат на приобретение по договорам лизинга бывшего в употреблении технологического оборудования, а также на покупку транспортных средств.</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1.9. Субсидии предоставляются промышленному предприятию в размере 10% от фактически произведенных и документально подтвержденных затрат на приобретение такого оборудования, и не могут составлять более 10,0 млн. рублей на одного получателя субсидии.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1.10. Предоставление субсидии осуществляется единовременно.</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1.11. Порядок распространяет свое действие в течение 5 лет со дня вступления в силу государственной программы на субъекты деятельности в сфере обрабатывающей промышленности.</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Title"/>
        <w:spacing w:line="276" w:lineRule="auto"/>
        <w:contextualSpacing/>
        <w:jc w:val="center"/>
        <w:outlineLvl w:val="1"/>
        <w:rPr>
          <w:rFonts w:ascii="Times New Roman" w:hAnsi="Times New Roman" w:cs="Times New Roman"/>
          <w:b w:val="0"/>
          <w:sz w:val="28"/>
          <w:szCs w:val="28"/>
        </w:rPr>
      </w:pPr>
      <w:r w:rsidRPr="005170F0">
        <w:rPr>
          <w:rFonts w:ascii="Times New Roman" w:hAnsi="Times New Roman" w:cs="Times New Roman"/>
          <w:b w:val="0"/>
          <w:sz w:val="28"/>
          <w:szCs w:val="28"/>
        </w:rPr>
        <w:t>2. Условия и порядок подачи заявок на предоставление</w:t>
      </w:r>
    </w:p>
    <w:p w:rsidR="005170F0" w:rsidRPr="005170F0" w:rsidRDefault="005170F0" w:rsidP="005170F0">
      <w:pPr>
        <w:pStyle w:val="ConsPlusTitle"/>
        <w:spacing w:line="276" w:lineRule="auto"/>
        <w:contextualSpacing/>
        <w:jc w:val="center"/>
        <w:rPr>
          <w:rFonts w:ascii="Times New Roman" w:hAnsi="Times New Roman" w:cs="Times New Roman"/>
          <w:b w:val="0"/>
          <w:sz w:val="28"/>
          <w:szCs w:val="28"/>
        </w:rPr>
      </w:pPr>
      <w:r w:rsidRPr="005170F0">
        <w:rPr>
          <w:rFonts w:ascii="Times New Roman" w:hAnsi="Times New Roman" w:cs="Times New Roman"/>
          <w:b w:val="0"/>
          <w:sz w:val="28"/>
          <w:szCs w:val="28"/>
        </w:rPr>
        <w:t>субсидии</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2.1. Отбор получателей на предоставление субсидии осуществляет Комиссия Департамента по проведению отбора (далее - Комиссия). Решение о проведении отбора утверждает приказом Департамент при наличии лимитов бюджетных обязательств, предусмотренных сводной бюджетной росписью для предоставления субсидии по данному виду поддержки на текущий финансовый год.</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2.2. В случае принятия решения о проведении отбора Департамент размещает на официальном сайте в сети Интернет http://depprom.admhmao.ru/ сообщение о сроках начала и окончания приема документов на получение субсидии, форму соглашения, перечень документов, требования к заявителям и порядок их отбора.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2.3. Прием документов от заявителей на получение субсидии осуществляется в течение 10 рабочих дней со дня опубликования информационного сообщения.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2.4. В целях рассмотрения заявок для предоставления субсидии Департамент утверждает своим приказом персональный состав и положение о Комиссии.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2.5. Количественный состав Комиссии должен составлять не менее 7 человек. </w:t>
      </w:r>
    </w:p>
    <w:p w:rsidR="005170F0" w:rsidRPr="005170F0" w:rsidRDefault="005170F0" w:rsidP="005170F0">
      <w:pPr>
        <w:pStyle w:val="ConsPlusNormal"/>
        <w:spacing w:line="276" w:lineRule="auto"/>
        <w:ind w:firstLine="540"/>
        <w:contextualSpacing/>
        <w:jc w:val="both"/>
        <w:rPr>
          <w:sz w:val="28"/>
          <w:szCs w:val="28"/>
        </w:rPr>
      </w:pPr>
      <w:bookmarkStart w:id="7" w:name="Par2239"/>
      <w:bookmarkEnd w:id="7"/>
      <w:r w:rsidRPr="005170F0">
        <w:rPr>
          <w:sz w:val="28"/>
          <w:szCs w:val="28"/>
        </w:rPr>
        <w:t xml:space="preserve">2.6. В целях предоставления субсидии предприятие, претендующее на предоставление субсидии (далее - заявитель), представляет в определенные </w:t>
      </w:r>
      <w:r w:rsidRPr="005170F0">
        <w:rPr>
          <w:sz w:val="28"/>
          <w:szCs w:val="28"/>
        </w:rPr>
        <w:lastRenderedPageBreak/>
        <w:t>Департаментом сроки заявление о предоставлении субсидии (далее - заявление), составленное по форме установленной Департаментом финансов автономного округа, с приложением следующих документов (далее - заявка):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2.6.1. Опись документов, прилагаемых к заявлению, с указанием страницы, на которой находится соответствующий документ, и количества листов в каждом прилагаемом документе и общего количества листов в приложении.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2.6.2. Технико-экономическое обоснование инвестиционного проекта, составленное по форме, установленной Департаментом.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2.6.3. Копии договоров на приобретение нового технологического оборудования.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2.6.4. Копии платежных документов, подтверждающих произведенные затраты на приобретение нового технологического оборудования (платежные поручения, заверенные банком), а также справку о фактически понесенных затратах по форме, утвержденной Департаментом.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2.6.5. Расчет размера запрашиваемой субсидии по форме, установленной Департаментом.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2.6.6. Копии документов, подтверждающих получение нового технологического оборудования (товарные или товарно-транспортные накладные, акты приема-передачи товара, технический паспорт и др.).</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2.6.7. Копии бухгалтерских документов, подтверждающих постановку на баланс приобретенного нового технологического оборудования.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2.6.8. Программа развития производства и повышения производительности труда, утвержденная заявителем и основанная на применении методов, технологий и инструментов бережливого производства.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2.6.9. Справка о просроченной задолженности по субсидиям, бюджетным инвестициям и иным средствам, предоставленным из бюджета автономного округа, по форме, утвержденной Департаментом финансов автономного округа.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Все представляемые в Департамент документы заверяются подписью руководителя (индивидуального предпринимателя) или иного лица, уполномоченного надлежащим образом, и печатью заявителя (при наличии).</w:t>
      </w:r>
    </w:p>
    <w:p w:rsidR="005170F0" w:rsidRPr="005170F0" w:rsidRDefault="005170F0" w:rsidP="005170F0">
      <w:pPr>
        <w:pStyle w:val="ConsPlusNormal"/>
        <w:spacing w:line="276" w:lineRule="auto"/>
        <w:ind w:firstLine="540"/>
        <w:contextualSpacing/>
        <w:jc w:val="both"/>
        <w:rPr>
          <w:sz w:val="28"/>
          <w:szCs w:val="28"/>
        </w:rPr>
      </w:pPr>
      <w:bookmarkStart w:id="8" w:name="Par2250"/>
      <w:bookmarkEnd w:id="8"/>
      <w:r w:rsidRPr="005170F0">
        <w:rPr>
          <w:sz w:val="28"/>
          <w:szCs w:val="28"/>
        </w:rPr>
        <w:t xml:space="preserve">2.7. Заявитель вправе представить по собственной инициативе копию свидетельства о постановке на учет в налоговом органе юридического лица или индивидуального предпринимателя, выписку из Единого государственного реестра юридических лиц или Единого государственного реестра индивидуальных предпринимателей, справки налогового органа об исполнении налогоплательщиком обязанности по уплате налогов, сборов, пеней, штрафов, процентов, выданные на 1 число месяца подачи заявления, а </w:t>
      </w:r>
      <w:r w:rsidRPr="005170F0">
        <w:rPr>
          <w:sz w:val="28"/>
          <w:szCs w:val="28"/>
        </w:rPr>
        <w:lastRenderedPageBreak/>
        <w:t>также разрешение на ввод в эксплуатацию объектов, строительство которых осуществлялось в рамках данного инвестиционного проекта.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В случае если заявитель не представил по собственной инициативе указанные документы, Департамент посредством межведомственного информационного взаимодействия запрашивает и получает от Федеральной налоговой службы Российской Федерации 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сведения из Единого государственного реестра юридических лиц или Единого государственного реестра индивидуальных предпринимателей в виде выписки, а также от соответствующих органов местного самоуправления (исполнительных органов государственной власти автономного округа) разрешение на ввод в эксплуатацию объектов, строительство которых осуществлялось в рамках данного инвестиционного проекта.</w:t>
      </w:r>
    </w:p>
    <w:p w:rsidR="005170F0" w:rsidRPr="005170F0" w:rsidRDefault="005170F0" w:rsidP="005170F0">
      <w:pPr>
        <w:pStyle w:val="ConsPlusNormal"/>
        <w:spacing w:line="276" w:lineRule="auto"/>
        <w:ind w:firstLine="540"/>
        <w:contextualSpacing/>
        <w:jc w:val="both"/>
        <w:rPr>
          <w:sz w:val="28"/>
          <w:szCs w:val="28"/>
        </w:rPr>
      </w:pPr>
      <w:bookmarkStart w:id="9" w:name="Par2252"/>
      <w:bookmarkEnd w:id="9"/>
      <w:r w:rsidRPr="005170F0">
        <w:rPr>
          <w:sz w:val="28"/>
          <w:szCs w:val="28"/>
        </w:rPr>
        <w:t>2.8. Документы представляет заявитель на бумажном носителе либо в электронной форме на адрес электронной почты Департамента: depprom@admhmao.ru, или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и (или) по почте письмом с уведомлением о вручении.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При подаче документов на бумажном носителе все листы должны быть прошиты, пронумерованы, скреплены печатью, подписаны уполномоченным лицом.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При подаче в электронном виде документы подписываются усиленной квалифицированной электронной подписью уполномоченного лица в соответствии с законодательством Российской Федерации.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Ответственность за достоверность сведений, содержащихся в документах, возлагается на заявителя в соответствии с законодательством Российской Федерации.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2.9. Заявка может быть представлена в Департамент лично или через представителя, полномочия которого подтверждаются надлежащим образом, направлена почтовым отправлением по адресу: 628007, Ханты-Мансийский автономный округ - Югра, г. Ханты-Мансийск, ул. Студенческая, д. 2, либо в электронной форме по адресу: depprom@admhmao.ru.</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2.10. Все заявления, поступившие в Департамент от заявителей позднее </w:t>
      </w:r>
      <w:r w:rsidRPr="005170F0">
        <w:rPr>
          <w:sz w:val="28"/>
          <w:szCs w:val="28"/>
        </w:rPr>
        <w:lastRenderedPageBreak/>
        <w:t xml:space="preserve">даты окончания срока приема документов, а также все заявления, поступившие от одного заявителя в количестве более одного, не рассматриваются по существу и возвращаются заявителям почтовым отправлением с уведомлением о вручении по адресам, указанным на заявлениях, за исключением случаев, предусмотренных </w:t>
      </w:r>
      <w:hyperlink w:anchor="Par2274" w:tgtFrame="3.5. Заявитель в срок не более 10 рабочих дней с даты получения письма Департамента с замечаниями устраняет их и представляет в Департамент откорректированную заявку, которая регистрируются в Журнале регистрации заявок с присвоением ей порядкового номера ">
        <w:r w:rsidRPr="005170F0">
          <w:rPr>
            <w:rStyle w:val="ListLabel1"/>
            <w:color w:val="auto"/>
            <w:sz w:val="28"/>
            <w:szCs w:val="28"/>
          </w:rPr>
          <w:t>пунктом 3.5</w:t>
        </w:r>
      </w:hyperlink>
      <w:r w:rsidRPr="005170F0">
        <w:rPr>
          <w:sz w:val="28"/>
          <w:szCs w:val="28"/>
        </w:rPr>
        <w:t xml:space="preserve"> Порядка.</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Title"/>
        <w:spacing w:line="276" w:lineRule="auto"/>
        <w:contextualSpacing/>
        <w:jc w:val="center"/>
        <w:outlineLvl w:val="1"/>
        <w:rPr>
          <w:rFonts w:ascii="Times New Roman" w:hAnsi="Times New Roman" w:cs="Times New Roman"/>
          <w:b w:val="0"/>
          <w:sz w:val="28"/>
          <w:szCs w:val="28"/>
        </w:rPr>
      </w:pPr>
      <w:r w:rsidRPr="005170F0">
        <w:rPr>
          <w:rFonts w:ascii="Times New Roman" w:hAnsi="Times New Roman" w:cs="Times New Roman"/>
          <w:b w:val="0"/>
          <w:sz w:val="28"/>
          <w:szCs w:val="28"/>
        </w:rPr>
        <w:t>3. Порядок и сроки рассмотрения документов</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3.1. Все поступившие заявки регистрируются в Журнале регистрации заявок с присвоением ей порядкового номера и указанием даты поступления в Департамент. Запись регистрации заявки включает в себя номер по порядку, дату, время, подпись и расшифровку подписи лица, вручившего заявку должностному лицу - представителю Департамента.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3.2. Департамент обеспечивает сохранность заявок и прилагаемых к ним документов, а также конфиденциальность сведений о лицах, подавших заявки, и содержания представленных ими документов.</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3.3. После даты окончания приема заявок, указанной в информационном сообщении, Департамент в течение 7 рабочих дней:</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проверяет комплектность документов на соответствие требованиям, установленным </w:t>
      </w:r>
      <w:hyperlink w:anchor="Par2239" w:tgtFrame="2.6. В целях предоставления субсидии предприятие, претендующее на предоставление субсидии (далее - заявитель), представляет в определенные Департаментом сроки заявление о предоставлении субсидии (далее - заявление), составленное по форме установленной Деп">
        <w:r w:rsidRPr="005170F0">
          <w:rPr>
            <w:rStyle w:val="ListLabel1"/>
            <w:color w:val="auto"/>
            <w:sz w:val="28"/>
            <w:szCs w:val="28"/>
          </w:rPr>
          <w:t>пунктами 2.6</w:t>
        </w:r>
      </w:hyperlink>
      <w:r w:rsidRPr="005170F0">
        <w:rPr>
          <w:sz w:val="28"/>
          <w:szCs w:val="28"/>
        </w:rPr>
        <w:t xml:space="preserve"> - </w:t>
      </w:r>
      <w:hyperlink r:id="rId14" w:tgtFrame="2.8. Документы представляет заявитель на бумажном носителе либо в электронной форме на адрес электронной почты Департамента: depprom@admhmao.ru, или с использованием федеральной государственной информационной системы &quot;Единый портал государственных и муни">
        <w:r w:rsidRPr="005170F0">
          <w:rPr>
            <w:rStyle w:val="ListLabel1"/>
            <w:color w:val="auto"/>
            <w:sz w:val="28"/>
            <w:szCs w:val="28"/>
          </w:rPr>
          <w:t>2.8</w:t>
        </w:r>
      </w:hyperlink>
      <w:r w:rsidRPr="005170F0">
        <w:rPr>
          <w:sz w:val="28"/>
          <w:szCs w:val="28"/>
        </w:rPr>
        <w:t xml:space="preserve"> Порядка, и отсутствие в составе заявки документов, не поддающихся прочтению;</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соответствие заявителя требованиям, установленным в </w:t>
      </w:r>
      <w:hyperlink w:anchor="Par2208" w:tgtFrame="1.3. Право на получение субсидии имеет предприятие, отвечающее по состоянию на 1 число месяца, предшествующего месяцу подачи документов на предоставление субсидии, следующим требованиям:">
        <w:r w:rsidRPr="005170F0">
          <w:rPr>
            <w:rStyle w:val="ListLabel1"/>
            <w:color w:val="auto"/>
            <w:sz w:val="28"/>
            <w:szCs w:val="28"/>
          </w:rPr>
          <w:t>пункте 1.3</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соблюдение условий, установленных </w:t>
      </w:r>
      <w:hyperlink w:anchor="Par2219" w:tgtFrame="1.4. В соответствии с Порядком не предоставляется субсидия промышленным предприятиям автономного округа, если к финансированию представлены:">
        <w:r w:rsidRPr="005170F0">
          <w:rPr>
            <w:rStyle w:val="ListLabel1"/>
            <w:color w:val="auto"/>
            <w:sz w:val="28"/>
            <w:szCs w:val="28"/>
          </w:rPr>
          <w:t>пунктами 1.4</w:t>
        </w:r>
      </w:hyperlink>
      <w:r w:rsidRPr="005170F0">
        <w:rPr>
          <w:sz w:val="28"/>
          <w:szCs w:val="28"/>
        </w:rPr>
        <w:t xml:space="preserve">, </w:t>
      </w:r>
      <w:hyperlink w:anchor="Par2224" w:tgtFrame="1.7. К возмещению принимаются затраты на покупку нового технологического оборудования, произведенные по безналичному расчету и подтвержденные соответствующими платежными документами, понесенные в течение не более 2 лет, предшествующих текущему финансовому">
        <w:r w:rsidRPr="005170F0">
          <w:rPr>
            <w:rStyle w:val="ListLabel1"/>
            <w:color w:val="auto"/>
            <w:sz w:val="28"/>
            <w:szCs w:val="28"/>
          </w:rPr>
          <w:t>1.7</w:t>
        </w:r>
      </w:hyperlink>
      <w:r w:rsidRPr="005170F0">
        <w:rPr>
          <w:sz w:val="28"/>
          <w:szCs w:val="28"/>
        </w:rPr>
        <w:t xml:space="preserve">, </w:t>
      </w:r>
      <w:hyperlink w:anchor="Par2225" w:tgtFrame="1.8. Субсидия не предоставляется на возмещение затрат на приобретение по договорам лизинга бывшего в употреблении технологического оборудования, а также на покупку транспортных средств.">
        <w:r w:rsidRPr="005170F0">
          <w:rPr>
            <w:rStyle w:val="ListLabel1"/>
            <w:color w:val="auto"/>
            <w:sz w:val="28"/>
            <w:szCs w:val="28"/>
          </w:rPr>
          <w:t>1.8</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3.4. Департамент в срок не более 20 рабочих дней с даты окончания приема заявок, включая срок по осуществлению межведомственного информационного взаимодействия для получения необходимых документов согласно </w:t>
      </w:r>
      <w:hyperlink w:anchor="Par2250" w:tgtFrame="2.7. Заявитель вправе представить по собственной инициативе копию свидетельства о постановке на учет в налоговом органе юридического лица или индивидуального предпринимателя, выписку из Единого государственного реестра юридических лиц или Единого государс">
        <w:r w:rsidRPr="005170F0">
          <w:rPr>
            <w:rStyle w:val="ListLabel1"/>
            <w:color w:val="auto"/>
            <w:sz w:val="28"/>
            <w:szCs w:val="28"/>
          </w:rPr>
          <w:t>пункту 2.7</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направляет в Фонд развития Югры представленное заявителем технико-экономическое обоснование инвестиционного проекта, который в срок не более 20 рабочих дней осуществляет его рассмотрение и подготавливает экспертное заключение о реализуемости проекта в соответствии с критериями, установленными локальным актом Фонда развития Югры, и соответствии технико-экономического обоснования инвестиционного проекта требованиям Порядка. Экспертное заключение носит рекомендательный характер;</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организует выезд члена (членов) Комиссии на место ведения хозяйственной деятельности заявителя в случаях, предусмотренных положением о Комиссии;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lastRenderedPageBreak/>
        <w:t>запрашивает и получает в Федеральной налоговой службе Российской Федерации сведения о режиме налогообложения заявителя;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направляет заявителю письмо с указанием замечаний в следующих случаях:</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а) несоответствие представленных заявителем документов указанным в Порядке требованиям, непредставление (представление не в полном объеме) документов, указанных в </w:t>
      </w:r>
      <w:hyperlink w:anchor="Par2239" w:tgtFrame="2.6. В целях предоставления субсидии предприятие, претендующее на предоставление субсидии (далее - заявитель), представляет в определенные Департаментом сроки заявление о предоставлении субсидии (далее - заявление), составленное по форме установленной Деп">
        <w:r w:rsidRPr="005170F0">
          <w:rPr>
            <w:rStyle w:val="ListLabel1"/>
            <w:color w:val="auto"/>
            <w:sz w:val="28"/>
            <w:szCs w:val="28"/>
          </w:rPr>
          <w:t>пункте 2.6</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б) несоответствие представленных заявителем документов положениям, установленным </w:t>
      </w:r>
      <w:hyperlink r:id="rId15" w:tgtFrame="2.8. Документы представляет заявитель на бумажном носителе либо в электронной форме на адрес электронной почты Департамента: depprom@admhmao.ru, или с использованием федеральной государственной информационной системы &quot;Единый портал государственных и муни">
        <w:r w:rsidRPr="005170F0">
          <w:rPr>
            <w:rStyle w:val="ListLabel1"/>
            <w:color w:val="auto"/>
            <w:sz w:val="28"/>
            <w:szCs w:val="28"/>
          </w:rPr>
          <w:t>пунктом 2.8</w:t>
        </w:r>
      </w:hyperlink>
      <w:r w:rsidRPr="005170F0">
        <w:rPr>
          <w:sz w:val="28"/>
          <w:szCs w:val="28"/>
        </w:rPr>
        <w:t xml:space="preserve"> Порядка, а также наличие документов, не поддающихся прочтению.</w:t>
      </w:r>
    </w:p>
    <w:p w:rsidR="005170F0" w:rsidRPr="005170F0" w:rsidRDefault="005170F0" w:rsidP="005170F0">
      <w:pPr>
        <w:pStyle w:val="ConsPlusNormal"/>
        <w:spacing w:line="276" w:lineRule="auto"/>
        <w:ind w:firstLine="540"/>
        <w:contextualSpacing/>
        <w:jc w:val="both"/>
        <w:rPr>
          <w:sz w:val="28"/>
          <w:szCs w:val="28"/>
        </w:rPr>
      </w:pPr>
      <w:bookmarkStart w:id="10" w:name="Par2274"/>
      <w:bookmarkEnd w:id="10"/>
      <w:r w:rsidRPr="005170F0">
        <w:rPr>
          <w:sz w:val="28"/>
          <w:szCs w:val="28"/>
        </w:rPr>
        <w:t>3.5. Заявитель в срок не более 10 рабочих дней с даты получения письма Департамента с замечаниями устраняет их и представляет в Департамент откорректированную заявку, которая регистрируются в Журнале регистрации заявок с присвоением ей порядкового номера и указанием даты поступления в Департамент. Запись регистрации заявки включает в себя номер по порядку, дату, время, подпись и расшифровку подписи лица, вручившего заявку должностному лицу - представителю Департамента.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В случае непредставления в указанный срок откорректированных документов, первоначально направленная заявка, а также копия письма с выявленными замечаниями выносятся на рассмотрение Комиссии.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3.6. Комиссия в срок не более 50 рабочих дней с даты окончания приема заявок по результатам заседания принимает решение рекомендовать предоставить либо отказать в предоставлении субсидии заявителю, установить конкретные значения показателей результативности предоставления субсидии (создание высокопроизводительных рабочих мест; увеличение объемов производства продукции, повышение размера среднемесячной заработной платы работников), которое оформляет протоколом в течение 2 рабочих дней со дня проведения заседания.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3.8. В случае если размер заявленной субсидии превышает бюджетные ассигнования, предусмотренные на данные цели, Комиссия рассматривает заявителей в порядке очередности подачи заявки в соответствии с журналом регистрации заявок.</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3.9. Заявка, рассмотренная Комиссией, заявителю не возвращается.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3.10. Департамент в срок не позднее 3 рабочих дней с даты подписания протокола заседания Комиссии: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а) оформляет приказ о предоставлении субсидии заявителям;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б) направляет заявителям письменное уведомление о принятом решении и, в случае принятия решения о предоставлении субсидии, проект соглашения о предоставлении субсидии (далее - Соглашение) в соответствии </w:t>
      </w:r>
      <w:r w:rsidRPr="005170F0">
        <w:rPr>
          <w:sz w:val="28"/>
          <w:szCs w:val="28"/>
        </w:rPr>
        <w:lastRenderedPageBreak/>
        <w:t>с формой, утвержденной Департаментом финансов автономного округа.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3.11. Основаниями для отказа в предоставлении субсидии являются: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а) несоответствие представленных заявителем документов указанным в Порядке требованиям, непредставление (представление не в полном объеме) документов, указанных в </w:t>
      </w:r>
      <w:hyperlink w:anchor="Par2239" w:tgtFrame="2.6. В целях предоставления субсидии предприятие, претендующее на предоставление субсидии (далее - заявитель), представляет в определенные Департаментом сроки заявление о предоставлении субсидии (далее - заявление), составленное по форме установленной Деп">
        <w:r w:rsidRPr="005170F0">
          <w:rPr>
            <w:rStyle w:val="ListLabel1"/>
            <w:color w:val="auto"/>
            <w:sz w:val="28"/>
            <w:szCs w:val="28"/>
          </w:rPr>
          <w:t>пункте 2.6</w:t>
        </w:r>
      </w:hyperlink>
      <w:r w:rsidRPr="005170F0">
        <w:rPr>
          <w:sz w:val="28"/>
          <w:szCs w:val="28"/>
        </w:rPr>
        <w:t xml:space="preserve"> Порядка, а также наличие документов, не поддающихся прочтению;</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б) несоответствие заявителя критериям, установленным </w:t>
      </w:r>
      <w:hyperlink w:anchor="Par2208" w:tgtFrame="1.3. Право на получение субсидии имеет предприятие, отвечающее по состоянию на 1 число месяца, предшествующего месяцу подачи документов на предоставление субсидии, следующим требованиям:">
        <w:r w:rsidRPr="005170F0">
          <w:rPr>
            <w:rStyle w:val="ListLabel1"/>
            <w:color w:val="auto"/>
            <w:sz w:val="28"/>
            <w:szCs w:val="28"/>
          </w:rPr>
          <w:t>пунктом 1.3</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в) несоблюдение условий, установленных </w:t>
      </w:r>
      <w:hyperlink w:anchor="Par2219" w:tgtFrame="1.4. В соответствии с Порядком не предоставляется субсидия промышленным предприятиям автономного округа, если к финансированию представлены:">
        <w:r w:rsidRPr="005170F0">
          <w:rPr>
            <w:rStyle w:val="ListLabel1"/>
            <w:color w:val="auto"/>
            <w:sz w:val="28"/>
            <w:szCs w:val="28"/>
          </w:rPr>
          <w:t>пунктами 1.4</w:t>
        </w:r>
      </w:hyperlink>
      <w:r w:rsidRPr="005170F0">
        <w:rPr>
          <w:sz w:val="28"/>
          <w:szCs w:val="28"/>
        </w:rPr>
        <w:t xml:space="preserve">, </w:t>
      </w:r>
      <w:hyperlink w:anchor="Par2224" w:tgtFrame="1.7. К возмещению принимаются затраты на покупку нового технологического оборудования, произведенные по безналичному расчету и подтвержденные соответствующими платежными документами, понесенные в течение не более 2 лет, предшествующих текущему финансовому">
        <w:r w:rsidRPr="005170F0">
          <w:rPr>
            <w:rStyle w:val="ListLabel1"/>
            <w:color w:val="auto"/>
            <w:sz w:val="28"/>
            <w:szCs w:val="28"/>
          </w:rPr>
          <w:t>1.7</w:t>
        </w:r>
      </w:hyperlink>
      <w:r w:rsidRPr="005170F0">
        <w:rPr>
          <w:sz w:val="28"/>
          <w:szCs w:val="28"/>
        </w:rPr>
        <w:t xml:space="preserve">, </w:t>
      </w:r>
      <w:hyperlink w:anchor="Par2225" w:tgtFrame="1.8. Субсидия не предоставляется на возмещение затрат на приобретение по договорам лизинга бывшего в употреблении технологического оборудования, а также на покупку транспортных средств.">
        <w:r w:rsidRPr="005170F0">
          <w:rPr>
            <w:rStyle w:val="ListLabel1"/>
            <w:color w:val="auto"/>
            <w:sz w:val="28"/>
            <w:szCs w:val="28"/>
          </w:rPr>
          <w:t>1.8</w:t>
        </w:r>
      </w:hyperlink>
      <w:r w:rsidRPr="005170F0">
        <w:rPr>
          <w:sz w:val="28"/>
          <w:szCs w:val="28"/>
        </w:rPr>
        <w:t xml:space="preserve"> Порядка;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г) отсутствие лимитов бюджетных обязательств, предусмотренных для предоставления субсидии в бюджете автономного округа;</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д) недостоверность представленной заявителем информации.</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Title"/>
        <w:spacing w:line="276" w:lineRule="auto"/>
        <w:contextualSpacing/>
        <w:jc w:val="center"/>
        <w:outlineLvl w:val="1"/>
        <w:rPr>
          <w:rFonts w:ascii="Times New Roman" w:hAnsi="Times New Roman" w:cs="Times New Roman"/>
          <w:b w:val="0"/>
          <w:sz w:val="28"/>
          <w:szCs w:val="28"/>
        </w:rPr>
      </w:pPr>
      <w:r w:rsidRPr="005170F0">
        <w:rPr>
          <w:rFonts w:ascii="Times New Roman" w:hAnsi="Times New Roman" w:cs="Times New Roman"/>
          <w:b w:val="0"/>
          <w:sz w:val="28"/>
          <w:szCs w:val="28"/>
        </w:rPr>
        <w:t>4. Условия и порядок заключения Соглашения</w:t>
      </w:r>
    </w:p>
    <w:p w:rsidR="005170F0" w:rsidRPr="005170F0" w:rsidRDefault="005170F0" w:rsidP="005170F0">
      <w:pPr>
        <w:pStyle w:val="ConsPlusTitle"/>
        <w:spacing w:line="276" w:lineRule="auto"/>
        <w:contextualSpacing/>
        <w:jc w:val="center"/>
        <w:rPr>
          <w:rFonts w:ascii="Times New Roman" w:hAnsi="Times New Roman" w:cs="Times New Roman"/>
          <w:b w:val="0"/>
          <w:sz w:val="28"/>
          <w:szCs w:val="28"/>
        </w:rPr>
      </w:pPr>
      <w:r w:rsidRPr="005170F0">
        <w:rPr>
          <w:rFonts w:ascii="Times New Roman" w:hAnsi="Times New Roman" w:cs="Times New Roman"/>
          <w:b w:val="0"/>
          <w:sz w:val="28"/>
          <w:szCs w:val="28"/>
        </w:rPr>
        <w:t>между Департаментом и получателем субсидии</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4.1. Проект Соглашения помимо установленных Департаментом финансов автономного округа положений должен содержать целевые показатели результативности, установленные Комиссией (создание высокопроизводительных рабочих мест; увеличение объемов производства продукции), а также предусматривать следующие условия: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а) обязательство по возврату субсидии в случае недостижения значений целевых показателей результативности более чем на 20% по итогам 3 года с даты заключения Соглашения;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б) обязательство получателя субсидии по регистрации и размещению необходимых данных в Государственной информационной системе промышленности;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в) запрет приобретения получателем субсидии за счет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г) направления расходования субсидии;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д) согласие получателя на осуществление в отношении него финансового контроля.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4.2. При согласии с условиями, определенными в проекте Соглашения, </w:t>
      </w:r>
      <w:r w:rsidRPr="005170F0">
        <w:rPr>
          <w:sz w:val="28"/>
          <w:szCs w:val="28"/>
        </w:rPr>
        <w:lastRenderedPageBreak/>
        <w:t>получатель субсидии подписывает Соглашение в течение 10 рабочих дней со дня его получения. Днем получения считается дата получения почтового уведомления о получении документов, направленных Департаментом заказным письмом. Непредставление получателем субсидии подписанного Соглашения в адрес Департамента в указанный срок расценивается как отказ от заключения Соглашения.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4.3. Департамент в течение 3 рабочих дней со дня получения от получателя субсидии Соглашения подписывает его и возвращает один экземпляр получателю субсидии.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4.4. В случае непредставления в установленном порядке подписанного Соглашения Департамент принимает решение об отказе в предоставлении субсидии и в срок не позднее 7 рабочих дней со дня истечения срока представления Соглашения направляет соответствующее уведомление получателю субсидии способом, обеспечивающим подтверждение его получения.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4.5. Перечисление Субсидии осуществляет Департамент не позднее 10 рабочих дней со дня подписания Соглашения о предоставлении субсидии на расчетный счет получателя субсидии, открытый в российской кредитной организации.</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Title"/>
        <w:spacing w:line="276" w:lineRule="auto"/>
        <w:contextualSpacing/>
        <w:jc w:val="center"/>
        <w:outlineLvl w:val="1"/>
        <w:rPr>
          <w:rFonts w:ascii="Times New Roman" w:hAnsi="Times New Roman" w:cs="Times New Roman"/>
          <w:b w:val="0"/>
          <w:sz w:val="28"/>
          <w:szCs w:val="28"/>
        </w:rPr>
      </w:pPr>
      <w:r w:rsidRPr="005170F0">
        <w:rPr>
          <w:rFonts w:ascii="Times New Roman" w:hAnsi="Times New Roman" w:cs="Times New Roman"/>
          <w:b w:val="0"/>
          <w:sz w:val="28"/>
          <w:szCs w:val="28"/>
        </w:rPr>
        <w:t>5. Требования к отчетности</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5.1. Получатель субсидии представляет Департаменту отчетность о достижении значений показателей результативности предоставления субсидии и иную отчетность, касающуюся соблюдения порядка, целей и условий предоставления субсидии, которые предусмотрены Порядком и Соглашением, а также об их достижении ежегодно не позднее 1 апреля в течение 3 лет, начиная с года, следующего за годом получения субсидии. Порядок, срок и форма предоставления получателем субсидии указанной отчетности определяются Соглашением.</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Title"/>
        <w:spacing w:line="276" w:lineRule="auto"/>
        <w:contextualSpacing/>
        <w:jc w:val="center"/>
        <w:outlineLvl w:val="1"/>
        <w:rPr>
          <w:rFonts w:ascii="Times New Roman" w:hAnsi="Times New Roman" w:cs="Times New Roman"/>
          <w:b w:val="0"/>
          <w:sz w:val="28"/>
          <w:szCs w:val="28"/>
        </w:rPr>
      </w:pPr>
      <w:r w:rsidRPr="005170F0">
        <w:rPr>
          <w:rFonts w:ascii="Times New Roman" w:hAnsi="Times New Roman" w:cs="Times New Roman"/>
          <w:b w:val="0"/>
          <w:sz w:val="28"/>
          <w:szCs w:val="28"/>
        </w:rPr>
        <w:t>6. Требования об осуществлении контроля за соблюдением</w:t>
      </w:r>
    </w:p>
    <w:p w:rsidR="005170F0" w:rsidRPr="005170F0" w:rsidRDefault="005170F0" w:rsidP="005170F0">
      <w:pPr>
        <w:pStyle w:val="ConsPlusTitle"/>
        <w:spacing w:line="276" w:lineRule="auto"/>
        <w:contextualSpacing/>
        <w:jc w:val="center"/>
        <w:rPr>
          <w:rFonts w:ascii="Times New Roman" w:hAnsi="Times New Roman" w:cs="Times New Roman"/>
          <w:b w:val="0"/>
          <w:sz w:val="28"/>
          <w:szCs w:val="28"/>
        </w:rPr>
      </w:pPr>
      <w:r w:rsidRPr="005170F0">
        <w:rPr>
          <w:rFonts w:ascii="Times New Roman" w:hAnsi="Times New Roman" w:cs="Times New Roman"/>
          <w:b w:val="0"/>
          <w:sz w:val="28"/>
          <w:szCs w:val="28"/>
        </w:rPr>
        <w:t>условий, целей и порядка предоставления субсидий</w:t>
      </w:r>
    </w:p>
    <w:p w:rsidR="005170F0" w:rsidRPr="005170F0" w:rsidRDefault="005170F0" w:rsidP="005170F0">
      <w:pPr>
        <w:pStyle w:val="ConsPlusTitle"/>
        <w:spacing w:line="276" w:lineRule="auto"/>
        <w:contextualSpacing/>
        <w:jc w:val="center"/>
        <w:rPr>
          <w:rFonts w:ascii="Times New Roman" w:hAnsi="Times New Roman" w:cs="Times New Roman"/>
          <w:b w:val="0"/>
          <w:sz w:val="28"/>
          <w:szCs w:val="28"/>
        </w:rPr>
      </w:pPr>
      <w:r w:rsidRPr="005170F0">
        <w:rPr>
          <w:rFonts w:ascii="Times New Roman" w:hAnsi="Times New Roman" w:cs="Times New Roman"/>
          <w:b w:val="0"/>
          <w:sz w:val="28"/>
          <w:szCs w:val="28"/>
        </w:rPr>
        <w:t>и ответственность за их нарушение</w:t>
      </w:r>
    </w:p>
    <w:p w:rsidR="005170F0" w:rsidRPr="005170F0" w:rsidRDefault="005170F0" w:rsidP="005170F0">
      <w:pPr>
        <w:pStyle w:val="ConsPlusNormal"/>
        <w:spacing w:line="276" w:lineRule="auto"/>
        <w:contextualSpacing/>
        <w:jc w:val="both"/>
        <w:rPr>
          <w:sz w:val="28"/>
          <w:szCs w:val="28"/>
        </w:rPr>
      </w:pP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6.1. Департамент и органы государственного финансового контроля в обязательном порядке осуществляют проверку соблюдения получателем субсидии условий, целей и порядка предоставления субсидии.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6.2. Предоставление субсидии прекращается и осуществляются </w:t>
      </w:r>
      <w:r w:rsidRPr="005170F0">
        <w:rPr>
          <w:sz w:val="28"/>
          <w:szCs w:val="28"/>
        </w:rPr>
        <w:lastRenderedPageBreak/>
        <w:t>мероприятия по ее возврату в бюджет автономного округа в следующих случаях:</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а) нарушения получателем субсидии условий Соглашения;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б) в случае недостижения значений целевых показателей результативности более чем на 20% по итогам 3 года с даты заключения Соглашения;</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в) наличия письменного заявления получателя субсидии об отказе в ее предоставлении;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г) нахождения получателя субсидии в процессе реорганизации, банкротства или ликвидации;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д) выявления недостоверных сведений в документах, представленных получателем субсидии в целях получения субсидии.</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6.3. Департамент в течение 10 рабочих дней с даты выявления факта нарушения условий, целей и порядка предоставления субсидии направляет в адрес получателя субсидии письменное требование о возврате средств субсидии.</w:t>
      </w:r>
    </w:p>
    <w:p w:rsidR="005170F0" w:rsidRPr="005170F0" w:rsidRDefault="005170F0" w:rsidP="005170F0">
      <w:pPr>
        <w:pStyle w:val="ConsPlusNormal"/>
        <w:spacing w:line="276" w:lineRule="auto"/>
        <w:ind w:firstLine="540"/>
        <w:contextualSpacing/>
        <w:jc w:val="both"/>
        <w:rPr>
          <w:sz w:val="28"/>
          <w:szCs w:val="28"/>
        </w:rPr>
      </w:pPr>
      <w:bookmarkStart w:id="11" w:name="Par2325"/>
      <w:bookmarkEnd w:id="11"/>
      <w:r w:rsidRPr="005170F0">
        <w:rPr>
          <w:sz w:val="28"/>
          <w:szCs w:val="28"/>
        </w:rPr>
        <w:t>6.4. Субсидия, использованная с нарушением условий, целей и порядка ее предоставления, должна быть возвращена получателем субсидии в течение 30 рабочих дней со дня получения соответствующего требования Департамента по указанным реквизитам.</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 xml:space="preserve">6.5. В случае </w:t>
      </w:r>
      <w:proofErr w:type="spellStart"/>
      <w:r w:rsidRPr="005170F0">
        <w:rPr>
          <w:sz w:val="28"/>
          <w:szCs w:val="28"/>
        </w:rPr>
        <w:t>непоступления</w:t>
      </w:r>
      <w:proofErr w:type="spellEnd"/>
      <w:r w:rsidRPr="005170F0">
        <w:rPr>
          <w:sz w:val="28"/>
          <w:szCs w:val="28"/>
        </w:rPr>
        <w:t xml:space="preserve"> средств в течение срока, установленного </w:t>
      </w:r>
      <w:hyperlink w:anchor="Par2325" w:tgtFrame="6.4. Субсидия, использованная с нарушением условий, целей и порядка ее предоставления, должна быть возвращена получателем субсидии в течение 30 рабочих дней со дня получения соответствующего требования Департамента по указанным реквизитам.">
        <w:r w:rsidRPr="005170F0">
          <w:rPr>
            <w:rStyle w:val="ListLabel1"/>
            <w:color w:val="auto"/>
            <w:sz w:val="28"/>
            <w:szCs w:val="28"/>
          </w:rPr>
          <w:t>пунктом 6.4</w:t>
        </w:r>
      </w:hyperlink>
      <w:r w:rsidRPr="005170F0">
        <w:rPr>
          <w:sz w:val="28"/>
          <w:szCs w:val="28"/>
        </w:rPr>
        <w:t xml:space="preserve"> Порядка, Департамент в течение 20 рабочих дней принимает меры к их взысканию в судебном порядке.</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6.6. Получатель субсидии вправе представить в Департамент письменный отказ от предоставления субсидии и добровольно вернуть Департаменту полученную субсидию.</w:t>
      </w:r>
    </w:p>
    <w:p w:rsidR="005170F0" w:rsidRPr="005170F0" w:rsidRDefault="005170F0" w:rsidP="005170F0">
      <w:pPr>
        <w:pStyle w:val="ConsPlusNormal"/>
        <w:spacing w:line="276" w:lineRule="auto"/>
        <w:ind w:firstLine="540"/>
        <w:contextualSpacing/>
        <w:jc w:val="both"/>
        <w:rPr>
          <w:sz w:val="28"/>
          <w:szCs w:val="28"/>
        </w:rPr>
      </w:pPr>
      <w:r w:rsidRPr="005170F0">
        <w:rPr>
          <w:sz w:val="28"/>
          <w:szCs w:val="28"/>
        </w:rPr>
        <w:t>6.7. Контроль за целевым и эффективным использованием бюджетных средств осуществляется в соответствии с законодательством Российской Федерации.</w:t>
      </w:r>
    </w:p>
    <w:p w:rsidR="00F76194" w:rsidRPr="005170F0" w:rsidRDefault="00F76194" w:rsidP="005170F0">
      <w:pPr>
        <w:spacing w:after="0"/>
        <w:contextualSpacing/>
        <w:rPr>
          <w:rFonts w:ascii="Times New Roman" w:hAnsi="Times New Roman" w:cs="Times New Roman"/>
          <w:sz w:val="28"/>
          <w:szCs w:val="28"/>
        </w:rPr>
      </w:pPr>
    </w:p>
    <w:sectPr w:rsidR="00F76194" w:rsidRPr="005170F0" w:rsidSect="00D851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5170F0"/>
    <w:rsid w:val="003700CE"/>
    <w:rsid w:val="005170F0"/>
    <w:rsid w:val="00D8513F"/>
    <w:rsid w:val="00F20EB1"/>
    <w:rsid w:val="00F76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F0"/>
    <w:pPr>
      <w:spacing w:after="200" w:line="276" w:lineRule="auto"/>
      <w:ind w:firstLine="0"/>
      <w:jc w:val="left"/>
    </w:pPr>
    <w:rPr>
      <w:rFonts w:ascii="Calibri" w:eastAsia="Times New Roman" w:hAnsi="Calibri" w:cs="Calibri"/>
      <w:kern w:val="2"/>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5170F0"/>
    <w:rPr>
      <w:color w:val="0000FF"/>
    </w:rPr>
  </w:style>
  <w:style w:type="paragraph" w:customStyle="1" w:styleId="ConsPlusNormal">
    <w:name w:val="ConsPlusNormal"/>
    <w:qFormat/>
    <w:rsid w:val="005170F0"/>
    <w:pPr>
      <w:widowControl w:val="0"/>
      <w:ind w:firstLine="0"/>
      <w:jc w:val="left"/>
    </w:pPr>
    <w:rPr>
      <w:rFonts w:eastAsia="Times New Roman"/>
      <w:kern w:val="2"/>
      <w:sz w:val="24"/>
      <w:szCs w:val="24"/>
      <w:lang w:eastAsia="ru-RU"/>
    </w:rPr>
  </w:style>
  <w:style w:type="paragraph" w:customStyle="1" w:styleId="ConsPlusTitle">
    <w:name w:val="ConsPlusTitle"/>
    <w:qFormat/>
    <w:rsid w:val="005170F0"/>
    <w:pPr>
      <w:widowControl w:val="0"/>
      <w:ind w:firstLine="0"/>
      <w:jc w:val="left"/>
    </w:pPr>
    <w:rPr>
      <w:rFonts w:ascii="Arial" w:eastAsia="Times New Roman" w:hAnsi="Arial" w:cs="Arial"/>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F0"/>
    <w:pPr>
      <w:spacing w:after="200" w:line="276" w:lineRule="auto"/>
      <w:ind w:firstLine="0"/>
      <w:jc w:val="left"/>
    </w:pPr>
    <w:rPr>
      <w:rFonts w:ascii="Calibri" w:eastAsia="Times New Roman" w:hAnsi="Calibri" w:cs="Calibri"/>
      <w:kern w:val="2"/>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5170F0"/>
    <w:rPr>
      <w:color w:val="0000FF"/>
    </w:rPr>
  </w:style>
  <w:style w:type="paragraph" w:customStyle="1" w:styleId="ConsPlusNormal">
    <w:name w:val="ConsPlusNormal"/>
    <w:qFormat/>
    <w:rsid w:val="005170F0"/>
    <w:pPr>
      <w:widowControl w:val="0"/>
      <w:ind w:firstLine="0"/>
      <w:jc w:val="left"/>
    </w:pPr>
    <w:rPr>
      <w:rFonts w:eastAsia="Times New Roman"/>
      <w:kern w:val="2"/>
      <w:sz w:val="24"/>
      <w:szCs w:val="24"/>
      <w:lang w:eastAsia="ru-RU"/>
    </w:rPr>
  </w:style>
  <w:style w:type="paragraph" w:customStyle="1" w:styleId="ConsPlusTitle">
    <w:name w:val="ConsPlusTitle"/>
    <w:qFormat/>
    <w:rsid w:val="005170F0"/>
    <w:pPr>
      <w:widowControl w:val="0"/>
      <w:ind w:firstLine="0"/>
      <w:jc w:val="left"/>
    </w:pPr>
    <w:rPr>
      <w:rFonts w:ascii="Arial" w:eastAsia="Times New Roman" w:hAnsi="Arial" w:cs="Arial"/>
      <w:b/>
      <w:bCs/>
      <w:kern w:val="2"/>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2332&amp;date=29.07.2019&amp;dst=101021&amp;fld=134" TargetMode="External"/><Relationship Id="rId13" Type="http://schemas.openxmlformats.org/officeDocument/2006/relationships/hyperlink" Target="https://login.consultant.ru/link/?req=doc&amp;base=LAW&amp;n=322332&amp;date=29.07.2019&amp;dst=102849&amp;fld=134"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login.consultant.ru/link/?req=doc&amp;base=LAW&amp;n=322332&amp;date=29.07.2019&amp;dst=100714&amp;fld=134" TargetMode="External"/><Relationship Id="rId12" Type="http://schemas.openxmlformats.org/officeDocument/2006/relationships/hyperlink" Target="https://login.consultant.ru/link/?req=doc&amp;base=LAW&amp;n=322332&amp;date=29.07.2019&amp;dst=102683&amp;fl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11662&amp;date=29.07.2019&amp;dst=100013&amp;fld=134" TargetMode="External"/><Relationship Id="rId11" Type="http://schemas.openxmlformats.org/officeDocument/2006/relationships/hyperlink" Target="https://login.consultant.ru/link/?req=doc&amp;base=LAW&amp;n=322332&amp;date=29.07.2019&amp;dst=101435&amp;fld=134" TargetMode="External"/><Relationship Id="rId5" Type="http://schemas.openxmlformats.org/officeDocument/2006/relationships/hyperlink" Target="https://login.consultant.ru/link/?req=doc&amp;base=LAW&amp;n=195368&amp;date=29.07.2019&amp;dst=100031&amp;fld=134" TargetMode="External"/><Relationship Id="rId15" Type="http://schemas.openxmlformats.org/officeDocument/2006/relationships/hyperlink" Target="file:///C:\Users\sluhaevakd\AppData\Local\Temp\&#1074;&#1088;&#1091;&#1095;&#1077;&#1085;&#1080;&#1080;" TargetMode="External"/><Relationship Id="rId10" Type="http://schemas.openxmlformats.org/officeDocument/2006/relationships/hyperlink" Target="https://login.consultant.ru/link/?req=doc&amp;base=LAW&amp;n=322332&amp;date=29.07.2019&amp;dst=101387&amp;fld=134" TargetMode="External"/><Relationship Id="rId4" Type="http://schemas.openxmlformats.org/officeDocument/2006/relationships/hyperlink" Target="https://login.consultant.ru/link/?req=doc&amp;base=LAW&amp;n=326377&amp;date=29.07.2019&amp;dst=103399&amp;fld=134" TargetMode="External"/><Relationship Id="rId9" Type="http://schemas.openxmlformats.org/officeDocument/2006/relationships/hyperlink" Target="https://login.consultant.ru/link/?req=doc&amp;base=LAW&amp;n=322332&amp;date=29.07.2019&amp;dst=101065&amp;fld=134" TargetMode="External"/><Relationship Id="rId14" Type="http://schemas.openxmlformats.org/officeDocument/2006/relationships/hyperlink" Target="file:///C:\Users\sluhaevakd\AppData\Local\Temp\&#1074;&#1088;&#1091;&#1095;&#1077;&#1085;&#1080;&#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4373</Words>
  <Characters>24931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Слухаева Кристина Дмитриевна</dc:creator>
  <cp:lastModifiedBy>Войтэхович Александр Романович</cp:lastModifiedBy>
  <cp:revision>2</cp:revision>
  <dcterms:created xsi:type="dcterms:W3CDTF">2019-10-23T09:40:00Z</dcterms:created>
  <dcterms:modified xsi:type="dcterms:W3CDTF">2019-10-23T09:40:00Z</dcterms:modified>
</cp:coreProperties>
</file>