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и условия заключения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инвалидами договоров мены жилых помещений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Порядок и условия заключения с инвалидами договоров мены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утверждены р</w:t>
      </w:r>
      <w:r>
        <w:rPr>
          <w:rFonts w:ascii="Times New Roman" w:hAnsi="Times New Roman" w:cs="Times New Roman"/>
          <w:sz w:val="24"/>
          <w:szCs w:val="24"/>
        </w:rPr>
        <w:t xml:space="preserve">ешением Думы Белоярского района от 6 марта 2024 № 16 «</w:t>
      </w:r>
      <w:r>
        <w:rPr>
          <w:rFonts w:ascii="Times New Roman" w:hAnsi="Times New Roman" w:cs="Times New Roman"/>
          <w:sz w:val="24"/>
          <w:szCs w:val="24"/>
        </w:rPr>
        <w:t xml:space="preserve">О Порядке и условиях заключения с инвалидами договоров мены жилых помещений»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далее – Порядок).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Договор мены жилых 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омещений может быть заключен с инвалидом со второй или третьей степенью выраженности ограничений одной из следующих категорий жизнедеятельности человека: способности к самообслуживанию, способности к самостоятельному передвижению, способности к ориентаци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способности к общению, способности контролировать свое поведение, способности к обучению, способности к трудовой деятельности (далее - инвалид),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(или) членами его семьи (или совместно проживающими с ним иными лицами), которым обмениваемое жилое помещение принадлежит на праве собственности, не имеющими иных жилых помещений на праве собственности, не являющимися нанимателями жилых помещений по до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говорам социального найма на территории городского поселения Белоярский, кроме обмениваемого жилого помещения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Принадлежащее инвалиду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(или) членами его семьи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жилое помещение подлежит обмену при условии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его с учетом потребностей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инвалида и обеспечения условий их доступности для инвалида. Основанием признания таковым является заключение межведомственной комиссии по обследованию жилых помещений.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Обмениваемое жилое помещение, находящееся в собственности муниципального образования Белоярский район, должно быть: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приспособлено для проживания инвалида с учетом его потребностей. Под указанным приспособлением понимается изменение и переоборудование жилого помещения в зависимости от особенностей ограничения жизнедеятельности, обусловленного инвалидностью инвалида, ко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торый будет проживать в указанном жилом помещении;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равнозначно по общей площади и количеству комнат, месторасположению (находиться на территории городского поселения Белоярский) занимаемому инвалидом жилому помещению. По согласованию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c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инвалидом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(или) членами его семьи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площадь и количество комнат обмениваемого муниципального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жилого помещения могут быть меньше площади и количества комнат жилого помещения, занимаемого инвалидом;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3) расположено не выше третьего этажа жилого дома.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Мена жилых помещений осуществляется после определения рыночной стоимости обмениваемых жилых помещений, установленной в соответствии с Федеральным законом от 29 июля 1998 года № 135-ФЗ «Об оценочной деятельности в Российской Федерации». 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азница между рыночной стоимостью обмениваемых жилых помещений подлежит отплате с возможностью рассрочки платежа до 15 лет.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С целью заключения договора мены инвалид и (или) члены его семьи подают письменное заявление в управление жилищно-коммунального хозяйства администрации Белоярского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Форма заявления и перечень прилагаемых к нему документов установлен Порядком.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Основаниями отказа в заключении договора мены являются: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1) инвалид не относится к категории лиц, указанных в части 1 статьи 1 Порядка;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2) отсутствие полного пакета документов, указанного в части 1 статьи 3 Порядка;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3) отсутствие свободных муниципальных жилых помещений;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4) несоответствие жилого помещения инвалида требованиям, установленным Порядком.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 xml:space="preserve">Д. Бочкарева,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ведущий специалист юридическо-правового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управления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администрации Белоярского района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sectPr>
      <w:footnotePr/>
      <w:endnotePr/>
      <w:type w:val="nextPage"/>
      <w:pgSz w:w="11906" w:h="16838" w:orient="portrait"/>
      <w:pgMar w:top="851" w:right="992" w:bottom="425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7"/>
    <w:link w:val="853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857"/>
    <w:link w:val="854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857"/>
    <w:link w:val="855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7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7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7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7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857"/>
    <w:link w:val="856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7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7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7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7"/>
    <w:link w:val="703"/>
    <w:uiPriority w:val="99"/>
  </w:style>
  <w:style w:type="paragraph" w:styleId="705">
    <w:name w:val="Footer"/>
    <w:basedOn w:val="852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7"/>
    <w:link w:val="705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7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7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7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paragraph" w:styleId="853">
    <w:name w:val="Heading 1"/>
    <w:basedOn w:val="852"/>
    <w:next w:val="852"/>
    <w:link w:val="86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4">
    <w:name w:val="Heading 2"/>
    <w:basedOn w:val="852"/>
    <w:next w:val="852"/>
    <w:link w:val="877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5">
    <w:name w:val="Heading 3"/>
    <w:basedOn w:val="852"/>
    <w:link w:val="86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56">
    <w:name w:val="Heading 8"/>
    <w:basedOn w:val="852"/>
    <w:next w:val="852"/>
    <w:link w:val="874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Заголовок 3 Знак"/>
    <w:basedOn w:val="857"/>
    <w:link w:val="85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61">
    <w:name w:val="Strong"/>
    <w:basedOn w:val="857"/>
    <w:uiPriority w:val="22"/>
    <w:qFormat/>
    <w:rPr>
      <w:b/>
      <w:bCs/>
    </w:rPr>
  </w:style>
  <w:style w:type="paragraph" w:styleId="862">
    <w:name w:val="Normal (Web)"/>
    <w:basedOn w:val="85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>
    <w:name w:val="Hyperlink"/>
    <w:basedOn w:val="857"/>
    <w:uiPriority w:val="99"/>
    <w:semiHidden/>
    <w:unhideWhenUsed/>
    <w:rPr>
      <w:color w:val="0000ff"/>
      <w:u w:val="single"/>
    </w:rPr>
  </w:style>
  <w:style w:type="paragraph" w:styleId="864" w:customStyle="1">
    <w:name w:val="t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5" w:customStyle="1">
    <w:name w:val="i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 w:customStyle="1">
    <w:name w:val="Заголовок 1 Знак"/>
    <w:basedOn w:val="857"/>
    <w:link w:val="85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7" w:customStyle="1">
    <w:name w:val="s_1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 w:customStyle="1">
    <w:name w:val="s_10"/>
    <w:basedOn w:val="857"/>
  </w:style>
  <w:style w:type="paragraph" w:styleId="86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71" w:customStyle="1">
    <w:name w:val="blk"/>
    <w:basedOn w:val="857"/>
  </w:style>
  <w:style w:type="character" w:styleId="872" w:customStyle="1">
    <w:name w:val="nobr"/>
    <w:basedOn w:val="857"/>
  </w:style>
  <w:style w:type="paragraph" w:styleId="873" w:customStyle="1">
    <w:name w:val="stat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 w:customStyle="1">
    <w:name w:val="Заголовок 8 Знак"/>
    <w:basedOn w:val="857"/>
    <w:link w:val="856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875">
    <w:name w:val="Balloon Text"/>
    <w:basedOn w:val="852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57"/>
    <w:link w:val="875"/>
    <w:uiPriority w:val="99"/>
    <w:semiHidden/>
    <w:rPr>
      <w:rFonts w:ascii="Tahoma" w:hAnsi="Tahoma" w:cs="Tahoma"/>
      <w:sz w:val="16"/>
      <w:szCs w:val="16"/>
    </w:rPr>
  </w:style>
  <w:style w:type="character" w:styleId="877" w:customStyle="1">
    <w:name w:val="Заголовок 2 Знак"/>
    <w:basedOn w:val="857"/>
    <w:link w:val="854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8">
    <w:name w:val="List Paragraph"/>
    <w:basedOn w:val="8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2D14-7065-4AD1-BA9B-61106043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BochkarevaDV</cp:lastModifiedBy>
  <cp:revision>54</cp:revision>
  <dcterms:created xsi:type="dcterms:W3CDTF">2020-05-16T11:24:00Z</dcterms:created>
  <dcterms:modified xsi:type="dcterms:W3CDTF">2025-09-22T09:30:31Z</dcterms:modified>
</cp:coreProperties>
</file>