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52" w:rsidRPr="00E845BF" w:rsidRDefault="00E845BF">
      <w:pPr>
        <w:jc w:val="center"/>
      </w:pPr>
      <w:r w:rsidRPr="00E845BF">
        <w:rPr>
          <w:b/>
          <w:bCs/>
          <w:color w:val="000000"/>
        </w:rPr>
        <w:t xml:space="preserve">Департамент промышленности Ханты-Мансийского автономного округа – Югры извещает о проведении конкурса </w:t>
      </w:r>
      <w:r w:rsidRPr="00E845BF">
        <w:rPr>
          <w:b/>
        </w:rPr>
        <w:t>по предоставлению грантов в форме субсидии из бюджета Ханты-Мансийского автономного округа – Югры на развитие внутреннего, въездного, в том числе этнографического туризма</w:t>
      </w:r>
    </w:p>
    <w:p w:rsidR="00B83F52" w:rsidRPr="00E845BF" w:rsidRDefault="00B83F52">
      <w:pPr>
        <w:jc w:val="center"/>
        <w:rPr>
          <w:b/>
          <w:bCs/>
          <w:color w:val="000000"/>
        </w:rPr>
      </w:pPr>
    </w:p>
    <w:tbl>
      <w:tblPr>
        <w:tblW w:w="10547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63"/>
        <w:gridCol w:w="9884"/>
      </w:tblGrid>
      <w:tr w:rsidR="00B83F52" w:rsidRPr="00E845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a"/>
              <w:spacing w:before="0" w:after="0"/>
              <w:jc w:val="center"/>
            </w:pPr>
            <w:r w:rsidRPr="00E845BF">
              <w:rPr>
                <w:color w:val="000000"/>
              </w:rPr>
              <w:t>1.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ind w:firstLine="397"/>
              <w:jc w:val="both"/>
            </w:pPr>
            <w:r w:rsidRPr="00E845BF">
              <w:t>Конкурс проводится по следующим направлениям: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1.1. Развитие и создание дополнительных объектов туристской индустрии, реконструкция имеющихся объектов туристской индустрии: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1 степени - 2500,0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2 степени - 2000,0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3 степени - 500,0 тыс. рублей.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1.2. Развитие и создание дополнительных этнографических объектов туристской индустрии, реконструкция имеющихся этнографических объектов туристской индустрии: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1 степени - 300,0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2 степени - 200,0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3 степени - 100,0 тыс. рублей.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1.3. Развитие индустрии туристских сувениров (в том числе с этнографической составляющей):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1 степени - 700,0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2 степени - 600,0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3 степени - 500,0 тыс. рублей.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1.4. Продвижение туристского продукта автономного округа (в сфере внутреннего и въездного туризма, в том числе этнографического туризма):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1 степени - 700,0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2 степени - 600,0 тыс. рублей;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грант 3 степени - 500,0 тыс. рублей.</w:t>
            </w:r>
          </w:p>
        </w:tc>
      </w:tr>
      <w:tr w:rsidR="00B83F52" w:rsidRPr="00E845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a"/>
              <w:spacing w:before="0" w:after="0"/>
              <w:jc w:val="center"/>
            </w:pPr>
            <w:r w:rsidRPr="00E845BF">
              <w:rPr>
                <w:color w:val="000000"/>
              </w:rPr>
              <w:t>2.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52" w:rsidRPr="00C1723E" w:rsidRDefault="00E845BF">
            <w:pPr>
              <w:ind w:firstLine="397"/>
              <w:jc w:val="both"/>
            </w:pPr>
            <w:bookmarkStart w:id="0" w:name="_GoBack"/>
            <w:bookmarkEnd w:id="0"/>
            <w:r w:rsidRPr="00C1723E">
              <w:t>Срок, адрес и порядок предоставления конкурсной документации.</w:t>
            </w:r>
          </w:p>
          <w:p w:rsidR="00B83F52" w:rsidRPr="00C1723E" w:rsidRDefault="00E845BF">
            <w:pPr>
              <w:ind w:firstLine="397"/>
              <w:jc w:val="both"/>
            </w:pPr>
            <w:proofErr w:type="gramStart"/>
            <w:r w:rsidRPr="00C1723E">
              <w:t xml:space="preserve">Перечень документов для участия в Конкурсе доступен для ознакомления в электронном виде с 09 часов 00 минут 25 февраля 2019 до 17 часов 00 минут 12 апреля 2019 на информационном сайте </w:t>
            </w:r>
            <w:r w:rsidRPr="00C1723E">
              <w:rPr>
                <w:lang w:val="en-US"/>
              </w:rPr>
              <w:t>https</w:t>
            </w:r>
            <w:r w:rsidRPr="00C1723E">
              <w:t>://</w:t>
            </w:r>
            <w:proofErr w:type="spellStart"/>
            <w:r w:rsidRPr="00C1723E">
              <w:rPr>
                <w:lang w:val="en-US"/>
              </w:rPr>
              <w:t>depprom</w:t>
            </w:r>
            <w:proofErr w:type="spellEnd"/>
            <w:r w:rsidRPr="00C1723E">
              <w:t>.</w:t>
            </w:r>
            <w:proofErr w:type="spellStart"/>
            <w:r w:rsidRPr="00C1723E">
              <w:rPr>
                <w:lang w:val="en-US"/>
              </w:rPr>
              <w:t>admhmao</w:t>
            </w:r>
            <w:proofErr w:type="spellEnd"/>
            <w:r w:rsidRPr="00C1723E">
              <w:t>.</w:t>
            </w:r>
            <w:proofErr w:type="spellStart"/>
            <w:r w:rsidRPr="00C1723E">
              <w:rPr>
                <w:lang w:val="en-US"/>
              </w:rPr>
              <w:t>ru</w:t>
            </w:r>
            <w:proofErr w:type="spellEnd"/>
            <w:r w:rsidRPr="00C1723E">
              <w:t xml:space="preserve"> в разделе «Деятельность/Туризм в Югре» и тематическом сайте https://tourism.admhmao.ru в разделе «Государственная поддержка туризма», а также предоставляется уполномоченным органом по адресу</w:t>
            </w:r>
            <w:proofErr w:type="gramEnd"/>
            <w:r w:rsidRPr="00C1723E">
              <w:t xml:space="preserve">: 628011, Ханты-Мансийский автономный округ - Югра, г. Ханты-Мансийск, ул. </w:t>
            </w:r>
            <w:proofErr w:type="spellStart"/>
            <w:r w:rsidRPr="00C1723E">
              <w:t>Рознина</w:t>
            </w:r>
            <w:proofErr w:type="spellEnd"/>
            <w:r w:rsidRPr="00C1723E">
              <w:t xml:space="preserve"> 64, Управлением туризма Департамента промышленности Ханты-Мансийского автономного округа - Югры, 1 этаж, </w:t>
            </w:r>
            <w:proofErr w:type="spellStart"/>
            <w:r w:rsidRPr="00C1723E">
              <w:t>каб</w:t>
            </w:r>
            <w:proofErr w:type="spellEnd"/>
            <w:r w:rsidRPr="00C1723E">
              <w:t>. 115, 116. Плата за предоставление документации не взимается.</w:t>
            </w:r>
          </w:p>
          <w:p w:rsidR="00B83F52" w:rsidRPr="00E845BF" w:rsidRDefault="00E845BF">
            <w:pPr>
              <w:ind w:firstLine="397"/>
              <w:jc w:val="both"/>
            </w:pPr>
            <w:r w:rsidRPr="00C1723E">
              <w:t>Период подачи соискателями конкурсной документации с 09 часов 00 часов 12 марта 2019 года до 17 часов 00 минут 12 апреля 2019 года.</w:t>
            </w:r>
          </w:p>
          <w:p w:rsidR="00B83F52" w:rsidRPr="00E845BF" w:rsidRDefault="00E845BF">
            <w:pPr>
              <w:ind w:firstLine="397"/>
              <w:jc w:val="both"/>
            </w:pPr>
            <w:proofErr w:type="gramStart"/>
            <w:r w:rsidRPr="00E845BF">
              <w:t>Конкурсная документация подается на бумажном носителе непосредственно и (или) по почте в адрес Управления туризма Департамента промышленности Ханты-Мансийского автономного округа — Югры, указанного на официальном сайте «Туризм в Югре» www.tourism.admhmao.ru, письмом с уведомлением о вручении, либо в электронном виде по адресу электронной почты: depprom@admhmao.ru. или с использованием федеральной государственной информационной системы «Единый портал государственных и муниципальных</w:t>
            </w:r>
            <w:proofErr w:type="gramEnd"/>
            <w:r w:rsidRPr="00E845BF">
              <w:t xml:space="preserve"> услуг (функций)» региональной информационной системы «Портал государственных и муниципальных услуг Ханты-Мансийского автономного округа - Югры» и (или) по почте письмом с уведомлением о вручении.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При подаче документов на бумажном носителе все листы должны быть пронумерованы, подписаны лицом, уполномоченным надлежащим образом, и представлены в запечатанном конверте, на котором указываются: наименование соискателя, почтовый адрес и выполняется запись: «На конкурс по предоставлению грантов в сфере туризма».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При подаче в электронном виде документы подписываются усиленной квалифицированной электронной подписью уполномоченного лица в соответствии с законодательством Российской Федерации.</w:t>
            </w:r>
          </w:p>
        </w:tc>
      </w:tr>
      <w:tr w:rsidR="00B83F52" w:rsidRPr="00E845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a"/>
              <w:spacing w:before="0" w:after="0"/>
              <w:jc w:val="center"/>
            </w:pPr>
            <w:r w:rsidRPr="00E845BF">
              <w:rPr>
                <w:color w:val="000000"/>
              </w:rPr>
              <w:t>3.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ind w:firstLine="397"/>
              <w:jc w:val="both"/>
            </w:pPr>
            <w:r w:rsidRPr="00E845BF">
              <w:t>Условия участия в Конкурсе.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 xml:space="preserve">К участию в Конкурсе допускаются соискатели, соответствующие на первое число </w:t>
            </w:r>
            <w:r w:rsidRPr="00E845BF">
              <w:lastRenderedPageBreak/>
              <w:t>месяца, предшествующего месяцу, в котором планируется заключение Соглашения о предоставлении гранта:</w:t>
            </w:r>
          </w:p>
          <w:p w:rsidR="00B83F52" w:rsidRPr="00E845BF" w:rsidRDefault="00E845BF">
            <w:pPr>
              <w:ind w:firstLine="397"/>
              <w:jc w:val="both"/>
            </w:pPr>
            <w:proofErr w:type="gramStart"/>
            <w:r w:rsidRPr="00E845BF">
              <w:t>3.1. осуществляющие деятельность по организации внутреннего, въездного, в том числе этнографического туризма в автономном округе в соответствии с видами экономической деятельности, установленными постановлением Государственного комитета Российской Федерации по стандартизации и метрологии от 6 ноября 2001 года N 454-ст «О принятии и введении в действие ОКВЭД»;</w:t>
            </w:r>
            <w:proofErr w:type="gramEnd"/>
          </w:p>
          <w:p w:rsidR="00B83F52" w:rsidRPr="00E845BF" w:rsidRDefault="00E845BF">
            <w:pPr>
              <w:ind w:firstLine="397"/>
              <w:jc w:val="both"/>
            </w:pPr>
            <w:r w:rsidRPr="00E845BF">
              <w:t xml:space="preserve">3.2. по направлениям, указанным в подпунктах 1.1, 1.2 Извещения, должны осуществлять деятельность </w:t>
            </w:r>
            <w:proofErr w:type="gramStart"/>
            <w:r w:rsidRPr="00E845BF">
              <w:t>по</w:t>
            </w:r>
            <w:proofErr w:type="gramEnd"/>
            <w:r w:rsidRPr="00E845BF">
              <w:t xml:space="preserve"> следующим ОКВЭД:</w:t>
            </w: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02" w:type="dxa"/>
                <w:left w:w="57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872"/>
              <w:gridCol w:w="6633"/>
            </w:tblGrid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 xml:space="preserve">№ </w:t>
                  </w:r>
                  <w:proofErr w:type="gramStart"/>
                  <w:r w:rsidRPr="00E845BF">
                    <w:t>п</w:t>
                  </w:r>
                  <w:proofErr w:type="gramEnd"/>
                  <w:r w:rsidRPr="00E845BF">
                    <w:t>/п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Код группировок видов экономической деятельности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Вид экономической деятельности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55.1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гостиниц и прочих мест для временного проживания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2.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55.2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по предоставлению мест для краткосрочного проживания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3.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56.10.1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ресторанов и кафе с полным ресторанным обслуживанием, кафетериев, ресторанов быстрого питания и самообслуживания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4.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79.1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туристических агентств и туроператоров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79.90.21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туристических агентств по предоставлению экскурсионных туристических услуг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6.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82.3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по организации конференций и выставок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86.90.4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санаторно-курортных организаций</w:t>
                  </w:r>
                </w:p>
              </w:tc>
            </w:tr>
          </w:tbl>
          <w:p w:rsidR="00B83F52" w:rsidRPr="00E845BF" w:rsidRDefault="00B83F52">
            <w:pPr>
              <w:jc w:val="both"/>
            </w:pPr>
          </w:p>
          <w:p w:rsidR="00B83F52" w:rsidRPr="00E845BF" w:rsidRDefault="00E845BF">
            <w:pPr>
              <w:ind w:firstLine="397"/>
              <w:jc w:val="both"/>
            </w:pPr>
            <w:r w:rsidRPr="00E845BF">
              <w:t xml:space="preserve">3.3. по направлению, указанному в подпункте 1.3 Извещения, должны осуществлять деятельность </w:t>
            </w:r>
            <w:proofErr w:type="gramStart"/>
            <w:r w:rsidRPr="00E845BF">
              <w:t>по</w:t>
            </w:r>
            <w:proofErr w:type="gramEnd"/>
            <w:r w:rsidRPr="00E845BF">
              <w:t xml:space="preserve"> следующим ОКВЭД:</w:t>
            </w: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02" w:type="dxa"/>
                <w:left w:w="57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872"/>
              <w:gridCol w:w="6633"/>
            </w:tblGrid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14.11.1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 xml:space="preserve">Производство одежды из кожи, кроме </w:t>
                  </w:r>
                  <w:proofErr w:type="gramStart"/>
                  <w:r w:rsidRPr="00E845BF">
                    <w:t>изготовленных</w:t>
                  </w:r>
                  <w:proofErr w:type="gramEnd"/>
                  <w:r w:rsidRPr="00E845BF">
                    <w:t xml:space="preserve"> по индивидуальному заказу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2.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14.13.1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верхней трикотажной или вязаной одежды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3.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14.13.2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 xml:space="preserve">Производство верхней одежды из текстильных материалов, </w:t>
                  </w:r>
                  <w:proofErr w:type="gramStart"/>
                  <w:r w:rsidRPr="00E845BF">
                    <w:t>кроме</w:t>
                  </w:r>
                  <w:proofErr w:type="gramEnd"/>
                  <w:r w:rsidRPr="00E845BF">
                    <w:t xml:space="preserve"> трикотажных или вязаных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4.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14.19.1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трикотажной или вязаной одежды для детей младшего возраста, спортивной или прочей одежды, аксессуаров и деталей одежды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14.19.23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 xml:space="preserve">Производство аксессуаров одежды, в том числе платков, шарфов, галстуков, перчаток и прочих аналогичных изделий из текстильных материалов, </w:t>
                  </w:r>
                  <w:proofErr w:type="gramStart"/>
                  <w:r w:rsidRPr="00E845BF">
                    <w:t>кроме</w:t>
                  </w:r>
                  <w:proofErr w:type="gramEnd"/>
                  <w:r w:rsidRPr="00E845BF">
                    <w:t xml:space="preserve"> трикотажных или вязаных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6.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14.19.31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аксессуаров одежды из натуральной или композиционной кожи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14.20.1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 xml:space="preserve">Производство меховых изделий, </w:t>
                  </w:r>
                  <w:proofErr w:type="gramStart"/>
                  <w:r w:rsidRPr="00E845BF">
                    <w:t>кроме</w:t>
                  </w:r>
                  <w:proofErr w:type="gramEnd"/>
                  <w:r w:rsidRPr="00E845BF">
                    <w:t xml:space="preserve"> изготовленных по индивидуальному заказу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lastRenderedPageBreak/>
                    <w:t>8.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16.29.13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деревянных статуэток и украшений из дерева, мозаики и инкрустированного дерева, шкатулок, футляров для ювелирных изделий или ножей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9.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16.29.14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деревянных рам для картин, фотографий, зеркал или аналогичных предметов и прочих изделий из дерева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10.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16.29.23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корзиночных и плетеных изделий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11.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23.41.1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столовой и кухонной керамической посуды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12.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23.41.3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статуэток и прочих декоративных керамических изделий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13.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32.1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ювелирных изделий, бижутерии и подобных товаров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14.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32.99.8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изделий народных художественных промыслов</w:t>
                  </w:r>
                </w:p>
              </w:tc>
            </w:tr>
          </w:tbl>
          <w:p w:rsidR="00B83F52" w:rsidRPr="00E845BF" w:rsidRDefault="00B83F52">
            <w:pPr>
              <w:jc w:val="both"/>
            </w:pPr>
          </w:p>
          <w:p w:rsidR="00B83F52" w:rsidRPr="00E845BF" w:rsidRDefault="00E845BF">
            <w:pPr>
              <w:ind w:firstLine="397"/>
              <w:jc w:val="both"/>
            </w:pPr>
            <w:r w:rsidRPr="00E845BF">
              <w:t xml:space="preserve">3.4. по направлению, указанному в подпункте 1.4 Извещения, должны осуществлять деятельность, в том числе </w:t>
            </w:r>
            <w:proofErr w:type="gramStart"/>
            <w:r w:rsidRPr="00E845BF">
              <w:t>по</w:t>
            </w:r>
            <w:proofErr w:type="gramEnd"/>
            <w:r w:rsidRPr="00E845BF">
              <w:t xml:space="preserve"> следующим ОКВЭД:</w:t>
            </w:r>
          </w:p>
          <w:tbl>
            <w:tblPr>
              <w:tblW w:w="9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02" w:type="dxa"/>
                <w:left w:w="57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1872"/>
              <w:gridCol w:w="6633"/>
            </w:tblGrid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79.1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туристических агентств и туроператоров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2.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18.1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полиграфическая и предоставление услуг в этой области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3.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32.4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игр и игрушек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4.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58.1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Издание книг, периодических публикаций и другие виды издательской деятельности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59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Производство кинофильмов, видеофильмов и телевизионных программ, издание звукозаписей и нот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6.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60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в области телевизионного и радиовещания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63.91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информационных агентств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8.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рекламная и исследование конъюнктуры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9.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79.90.1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по предоставлению туристических информационных услуг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10.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79.90.2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по предоставлению экскурсионных туристических услуг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11.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82.3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по организации конференций и выставок</w:t>
                  </w:r>
                </w:p>
              </w:tc>
            </w:tr>
            <w:tr w:rsidR="00B83F52" w:rsidRPr="00E845BF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12.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93.2</w:t>
                  </w:r>
                </w:p>
              </w:tc>
              <w:tc>
                <w:tcPr>
                  <w:tcW w:w="6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83F52" w:rsidRPr="00E845BF" w:rsidRDefault="00E845BF">
                  <w:pPr>
                    <w:jc w:val="both"/>
                  </w:pPr>
                  <w:r w:rsidRPr="00E845BF">
                    <w:t>Деятельность в области отдыха и развлечений</w:t>
                  </w:r>
                </w:p>
              </w:tc>
            </w:tr>
          </w:tbl>
          <w:p w:rsidR="00B83F52" w:rsidRPr="00E845BF" w:rsidRDefault="00B83F52">
            <w:pPr>
              <w:jc w:val="both"/>
            </w:pPr>
          </w:p>
          <w:p w:rsidR="000942CD" w:rsidRDefault="000942CD" w:rsidP="000942CD">
            <w:pPr>
              <w:ind w:firstLine="397"/>
              <w:jc w:val="both"/>
            </w:pPr>
            <w:r>
              <w:t>а) не имеющие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0942CD" w:rsidRDefault="000942CD" w:rsidP="000942CD">
            <w:pPr>
              <w:ind w:firstLine="397"/>
              <w:jc w:val="both"/>
            </w:pPr>
            <w:r>
              <w:t xml:space="preserve">б) не находящиеся в процессе реорганизации, ликвидации, банкротства, индивидуальные предприниматели, не прекратившие деятельность в качестве индивидуального предпринимателя; </w:t>
            </w:r>
          </w:p>
          <w:p w:rsidR="000942CD" w:rsidRDefault="000942CD" w:rsidP="000942CD">
            <w:pPr>
              <w:ind w:firstLine="397"/>
              <w:jc w:val="both"/>
            </w:pPr>
            <w:proofErr w:type="gramStart"/>
            <w:r>
              <w:t xml:space="preserve">в) не являющиеся иностранными юридическими лицами, а также российскими </w:t>
            </w:r>
            <w:r>
              <w:lastRenderedPageBreak/>
              <w:t>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      </w:r>
            <w:proofErr w:type="gramEnd"/>
            <w:r>
              <w:t xml:space="preserve"> таких юридических лиц, в совокупности превышает 50%;</w:t>
            </w:r>
          </w:p>
          <w:p w:rsidR="000942CD" w:rsidRDefault="000942CD" w:rsidP="000942CD">
            <w:pPr>
              <w:ind w:firstLine="397"/>
              <w:jc w:val="both"/>
            </w:pPr>
            <w:proofErr w:type="gramStart"/>
            <w:r>
              <w:t>г) не имеющее просроченной задолженности по возврату в бюджет автономного округа субсидий, бюджетных инвестиций и иной просроченной задолженности, а также не допустившее в течение последних 3 лет нарушений порядка и целевого использования указанных средств.</w:t>
            </w:r>
            <w:proofErr w:type="gramEnd"/>
          </w:p>
          <w:p w:rsidR="00B83F52" w:rsidRPr="00E845BF" w:rsidRDefault="00E845BF" w:rsidP="000942CD">
            <w:pPr>
              <w:ind w:firstLine="397"/>
              <w:jc w:val="both"/>
            </w:pPr>
            <w:r w:rsidRPr="00E845BF">
              <w:t>В Конкурсе не могут принимать участие проекты, направленные на проведение фестивалей, юбилейных торжеств, конкурсов, на плановые работы организаций.</w:t>
            </w:r>
          </w:p>
          <w:p w:rsidR="000942CD" w:rsidRDefault="000942CD">
            <w:pPr>
              <w:ind w:firstLine="397"/>
              <w:jc w:val="both"/>
            </w:pPr>
            <w:proofErr w:type="spellStart"/>
            <w:r w:rsidRPr="000942CD">
              <w:t>Грантополучателям</w:t>
            </w:r>
            <w:proofErr w:type="spellEnd"/>
            <w:r w:rsidRPr="000942CD">
              <w:t xml:space="preserve"> запрещается приобретать иностранную валюту за счет полученных средств,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 xml:space="preserve">Размер </w:t>
            </w:r>
            <w:proofErr w:type="spellStart"/>
            <w:r w:rsidRPr="00E845BF">
              <w:t>софинансирования</w:t>
            </w:r>
            <w:proofErr w:type="spellEnd"/>
            <w:r w:rsidRPr="00E845BF">
              <w:t xml:space="preserve"> (собственных средств) соискателя по направлениям, указанным в </w:t>
            </w:r>
            <w:r w:rsidRPr="00E845BF">
              <w:rPr>
                <w:rStyle w:val="ListLabel28"/>
                <w:sz w:val="24"/>
                <w:szCs w:val="24"/>
              </w:rPr>
              <w:t>пункт</w:t>
            </w:r>
            <w:r w:rsidR="000942CD">
              <w:rPr>
                <w:rStyle w:val="ListLabel28"/>
                <w:sz w:val="24"/>
                <w:szCs w:val="24"/>
              </w:rPr>
              <w:t xml:space="preserve">е </w:t>
            </w:r>
            <w:r w:rsidRPr="00E845BF">
              <w:rPr>
                <w:rStyle w:val="ListLabel28"/>
                <w:sz w:val="24"/>
                <w:szCs w:val="24"/>
              </w:rPr>
              <w:t>1 Извещения</w:t>
            </w:r>
            <w:r w:rsidRPr="00E845BF">
              <w:t>, должен составлять не менее 50% от суммы сметы по проекту на грант.</w:t>
            </w:r>
          </w:p>
        </w:tc>
      </w:tr>
      <w:tr w:rsidR="00B83F52" w:rsidRPr="00E845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a"/>
              <w:spacing w:before="0" w:after="0"/>
              <w:jc w:val="center"/>
            </w:pPr>
            <w:r w:rsidRPr="00E845BF">
              <w:rPr>
                <w:color w:val="000000"/>
              </w:rPr>
              <w:lastRenderedPageBreak/>
              <w:t>4.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Для участия в Конкурсе соискатель направляет в адрес Департамента промышленности Ханты-Мансийского автономного округа - Югры (далее — Департамент) конкурсную документацию: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4.1. Сопроводительное письмо на имя директора Департамента.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4.2. Заявку на участие в Конкурсе по форме, утвержденной приказом Департамента.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4.3. Паспорт проекта по форме, утвержденной приказом Департамента.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4.4. Смету расходов по проекту на грант по форме, утвержденной приказом Департамента.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 xml:space="preserve">4.5. </w:t>
            </w:r>
            <w:proofErr w:type="gramStart"/>
            <w:r w:rsidRPr="00E845BF">
              <w:t>Проект, включающий в себя план его реализации, список исполнителей, информацию о соискателе (руководителе), обоснование проекта, цели и его задачи, содержание проекта, с описанием имеющихся объектов туристской индустрии, его кадровое обеспечение, предполагаемые затраты и источники финансирования проекта, место его реализации, ожидаемые результаты проекта, дальнейшее развитие проекта и будущее финансирование, реализация которого не должна превышать 1 календарного года со дня заключения Соглашения.</w:t>
            </w:r>
            <w:proofErr w:type="gramEnd"/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4.6. Бизнес-план (технико-экономическое обоснование).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4.7. Прое</w:t>
            </w:r>
            <w:proofErr w:type="gramStart"/>
            <w:r w:rsidRPr="00E845BF">
              <w:t>кт стр</w:t>
            </w:r>
            <w:proofErr w:type="gramEnd"/>
            <w:r w:rsidRPr="00E845BF">
              <w:t>оительства, в который входят чертежи, с указанием размера помещений, их планировка, схему и карту расположения объекта, для проектов по направлениям, указанным в подпунктах 1.1-1.3 Извещения (в случае строительства мастерской).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 xml:space="preserve">4.8. </w:t>
            </w:r>
            <w:proofErr w:type="gramStart"/>
            <w:r w:rsidRPr="00E845BF">
              <w:rPr>
                <w:szCs w:val="22"/>
              </w:rPr>
              <w:t>Справку, подтверждающая отсутствие у соискателя на первое число месяца, в котором подается Заявка, просроченной задолженности по субсидиям, бюджетным инвестициям и иным средствам, предоставленным из бюджета Ханты-Мансийского автономного округа - Югры в соответствии с нормативными правовыми актами Российской Федерации (договорами (соглашениями) о предоставлении субсидий, бюджетных инвестиций) в соответствии с типовой формой, утвержденной Департаментом финансов автономного округа.</w:t>
            </w:r>
            <w:proofErr w:type="gramEnd"/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rPr>
                <w:szCs w:val="22"/>
              </w:rPr>
              <w:t>Соискатель вправе представить в Департамент следующие документы: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4.9. Выписку из Единого федерального реестра туроператоров (при осуществлении туроператорской деятельности).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4.10. Правоустанавливающие документы на земельные участки.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выписку из Единого реестра субъектов малого и среднего предпринимательства.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4.11. Документы, представленные не в полном объеме либо поступившие после окончания установленного срока приема заявок, не рассматриваются.</w:t>
            </w:r>
          </w:p>
        </w:tc>
      </w:tr>
      <w:tr w:rsidR="00B83F52" w:rsidRPr="00E845BF">
        <w:trPr>
          <w:trHeight w:val="29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b"/>
              <w:spacing w:after="0"/>
              <w:ind w:left="0"/>
              <w:jc w:val="center"/>
            </w:pPr>
            <w:r w:rsidRPr="00E845BF">
              <w:rPr>
                <w:color w:val="000000"/>
              </w:rPr>
              <w:t>5.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Проведение Конкурса осуществляется в 4 этапа.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lastRenderedPageBreak/>
              <w:t>На первом этапе конкурсная документация, поступившая в Департамент, регистрируется в день поступления в журнале регистрации, форма которого утверждается приказом Департамента и передается секретарю Комиссии.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 xml:space="preserve">На втором этапе Комиссия в течение 8 рабочих дней со дня окончания приема конкурсной документации осуществляет проверку предоставленных документов и дает заключение о соответствии (несоответствии) требованиям, установленным Порядком. В случае вынесения заключения о несоответствии представленных документов требованиям Порядка, соискателю в течение 5 рабочих дней </w:t>
            </w:r>
            <w:proofErr w:type="gramStart"/>
            <w:r w:rsidRPr="00E845BF">
              <w:t>с даты вынесения</w:t>
            </w:r>
            <w:proofErr w:type="gramEnd"/>
            <w:r w:rsidRPr="00E845BF">
              <w:t xml:space="preserve"> заключения Комиссии в письменной форме направляется уведомление с указанием причины несоответствия.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proofErr w:type="gramStart"/>
            <w:r w:rsidRPr="00E845BF">
              <w:t>На третьем этапе в течение 1 рабочего дня после проверки представленной конкурсной документации секретарь Комиссии передает ее на рассмотрение экспертам, которых определяет Комиссия, для подготовки экспертного заключения на проект и его финансово-экономического анализа, анализа туристской привлекательности с указанием отрицательных и положительных сторон в соответствии с методикой проведения экспертизы, утвержденной приказом Департамента.</w:t>
            </w:r>
            <w:proofErr w:type="gramEnd"/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rPr>
                <w:szCs w:val="22"/>
              </w:rPr>
              <w:t>Информация о прохождении экспертизы является строго конфиденциальной. Соискатели не имеют права знать, кто из экспертов рассматривает их конкурсную документацию. Срок подготовки экспертом заключения, форма которого утверждается Департаментом, не может превышать 7 рабочих дней с момента поступления документов к нему на экспертизу. Комиссия передает подготовленное экспертом заключение секретарю Совета в течение 1 ра</w:t>
            </w:r>
            <w:r w:rsidRPr="00E845BF">
              <w:t>бочего дня с момента подготовки заключения.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 xml:space="preserve">На четвертом этапе Советом осуществляется рассмотрение конкурсной документации и определение </w:t>
            </w:r>
            <w:proofErr w:type="spellStart"/>
            <w:r w:rsidRPr="00E845BF">
              <w:t>грантополучателей</w:t>
            </w:r>
            <w:proofErr w:type="spellEnd"/>
            <w:r w:rsidRPr="00E845BF">
              <w:t>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Конкурсная документация рассматривается Советом в форме открытой (публичной) защиты.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rPr>
                <w:szCs w:val="22"/>
              </w:rPr>
              <w:t xml:space="preserve">Секретарь Комиссии не </w:t>
            </w:r>
            <w:proofErr w:type="gramStart"/>
            <w:r w:rsidRPr="00E845BF">
              <w:rPr>
                <w:szCs w:val="22"/>
              </w:rPr>
              <w:t>позднее</w:t>
            </w:r>
            <w:proofErr w:type="gramEnd"/>
            <w:r w:rsidRPr="00E845BF">
              <w:rPr>
                <w:szCs w:val="22"/>
              </w:rPr>
              <w:t xml:space="preserve"> чем за 8 рабочих дней до дня проведения открытой (публичной) защиты письменно извещает соискателя о дате, времени и месте проведения открытой (публичной) защиты.</w:t>
            </w:r>
            <w:r w:rsidRPr="00E845BF">
              <w:t xml:space="preserve"> 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Защита осуществляется в присутствии общественности, с приглашением средств массовой информации. Время публичной защиты составляет не более 10 минут.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В процессе защиты соискателю предоставляется мультимедийное оборудование для демонстрации виде</w:t>
            </w:r>
            <w:proofErr w:type="gramStart"/>
            <w:r w:rsidRPr="00E845BF">
              <w:t>о-</w:t>
            </w:r>
            <w:proofErr w:type="gramEnd"/>
            <w:r w:rsidRPr="00E845BF">
              <w:t>, фоторяда, слайдов, текстовых файлов. Соискатель вправе предоставить макеты, образцы продукции.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Перед открытой (публичной) защитой председательствующий на заседании Совета озвучивает заключения, поступившие от экспертов.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Процесс обсуждения составляет не более 15 минут, в течение которого могут поступать вопросы не только от членов Совета, но и от присутствующих на открытой (публичной) защите.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После открытой (публичной) защиты всех проектов и подведения итогов Конкурса председательствующий на заседании Совета озвучивает всем участникам Конкурса и присутствующим на открытой (публичной) защите мнение всех членов Совета о сильных и слабых сторонах проекта.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 xml:space="preserve">Оценка конкурсной документации осуществляется членами Совета по балльной системе в соответствии с критериями, указанными в </w:t>
            </w:r>
            <w:hyperlink r:id="rId5" w:anchor="P4602" w:history="1">
              <w:r w:rsidRPr="00E845BF">
                <w:rPr>
                  <w:rStyle w:val="ListLabel28"/>
                  <w:sz w:val="24"/>
                  <w:szCs w:val="24"/>
                </w:rPr>
                <w:t xml:space="preserve">пункте </w:t>
              </w:r>
              <w:r w:rsidR="006167C7">
                <w:rPr>
                  <w:rStyle w:val="ListLabel28"/>
                  <w:sz w:val="24"/>
                  <w:szCs w:val="24"/>
                </w:rPr>
                <w:t>6</w:t>
              </w:r>
            </w:hyperlink>
            <w:r w:rsidRPr="00E845BF">
              <w:t xml:space="preserve"> (от 1 до 5 баллов по каждому критерию). Победителем Конкурса по </w:t>
            </w:r>
            <w:proofErr w:type="spellStart"/>
            <w:proofErr w:type="gramStart"/>
            <w:r w:rsidRPr="00E845BF">
              <w:t>по</w:t>
            </w:r>
            <w:proofErr w:type="spellEnd"/>
            <w:proofErr w:type="gramEnd"/>
            <w:r w:rsidRPr="00E845BF">
              <w:t xml:space="preserve"> направлениям, указанным в пункте 1.10 Порядка, может быть признан соискатель, среднее суммарное значение баллов конкурсной документации которого - не менее 40 баллов.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t>Каждый член Совета осуществляет оценку конкурсной документации, заполняя оценочный лист по форме, утвержденной приказом Департамента, который сдается секретарю Совета непосредственно после открытой (публичной) защиты.</w:t>
            </w:r>
          </w:p>
          <w:p w:rsidR="00B83F52" w:rsidRPr="00E845BF" w:rsidRDefault="00E845BF">
            <w:pPr>
              <w:shd w:val="clear" w:color="auto" w:fill="FFFFFF"/>
              <w:ind w:firstLine="397"/>
              <w:jc w:val="both"/>
            </w:pPr>
            <w:r w:rsidRPr="00E845BF">
              <w:rPr>
                <w:szCs w:val="22"/>
              </w:rPr>
              <w:t>В случае</w:t>
            </w:r>
            <w:proofErr w:type="gramStart"/>
            <w:r w:rsidRPr="00E845BF">
              <w:rPr>
                <w:szCs w:val="22"/>
              </w:rPr>
              <w:t>,</w:t>
            </w:r>
            <w:proofErr w:type="gramEnd"/>
            <w:r w:rsidRPr="00E845BF">
              <w:rPr>
                <w:szCs w:val="22"/>
              </w:rPr>
              <w:t xml:space="preserve"> если по итогам открытой (публичной) защиты были выявлены победители Конкурса не по всем степеням гранта по направлениям, указанным в пункте 1 Извещения, Департамент вправе объявить повторное проведение Конкурса.</w:t>
            </w:r>
          </w:p>
        </w:tc>
      </w:tr>
      <w:tr w:rsidR="00B83F52" w:rsidRPr="00E845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a"/>
              <w:spacing w:before="0" w:after="0"/>
              <w:jc w:val="center"/>
            </w:pPr>
            <w:r w:rsidRPr="00E845BF">
              <w:rPr>
                <w:color w:val="000000"/>
              </w:rPr>
              <w:lastRenderedPageBreak/>
              <w:t>6.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Критерии оценки проектов: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6.1. Соответствие задач проекта приоритетам Конкурса.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lastRenderedPageBreak/>
              <w:t>6.2. Создание новых рабочих мест.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6.3. Социальная значимость результатов проекта.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6.4. Обоснование объема запрашиваемых средств.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6.5. Кадровый потенциал.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6.6. Транспортная доступность представляемого проекта (наличие автомобильной дороги).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6.7. Сезонность действия проекта.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6.8. Размер собственных средств, вкладываемых в реализацию проекта.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6.9. Вовлечение в реализацию проекта организаций сопутствующей индустрии.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6.10. Индекс доходности.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6.11. Срок окупаемости.</w:t>
            </w:r>
          </w:p>
          <w:p w:rsidR="00B83F52" w:rsidRPr="00E845BF" w:rsidRDefault="00E845BF">
            <w:pPr>
              <w:pStyle w:val="ConsPlusNormal0"/>
              <w:ind w:firstLine="397"/>
              <w:jc w:val="both"/>
              <w:rPr>
                <w:rFonts w:ascii="Times New Roman" w:hAnsi="Times New Roman" w:cs="Times New Roman"/>
              </w:rPr>
            </w:pPr>
            <w:r w:rsidRPr="00E845BF">
              <w:rPr>
                <w:rFonts w:ascii="Times New Roman" w:hAnsi="Times New Roman" w:cs="Times New Roman"/>
                <w:szCs w:val="24"/>
              </w:rPr>
              <w:t>6.12. Имеющиеся ресурсы.</w:t>
            </w:r>
          </w:p>
        </w:tc>
      </w:tr>
      <w:tr w:rsidR="00B83F52" w:rsidRPr="00E845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3F52" w:rsidRPr="00E845BF" w:rsidRDefault="00E845BF">
            <w:pPr>
              <w:pStyle w:val="aa"/>
              <w:spacing w:before="0" w:after="0"/>
              <w:jc w:val="center"/>
            </w:pPr>
            <w:r w:rsidRPr="00E845BF">
              <w:lastRenderedPageBreak/>
              <w:t>7.</w:t>
            </w:r>
          </w:p>
        </w:tc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F52" w:rsidRPr="00E845BF" w:rsidRDefault="00E845BF">
            <w:pPr>
              <w:ind w:firstLine="397"/>
              <w:jc w:val="both"/>
            </w:pPr>
            <w:r w:rsidRPr="00E845BF">
              <w:t>Порядок и сроки объявления результатов Конкурса: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В день проведения открытой (публичной) защиты секретарь Совета на основании оценочных листов заполняет итоговую ведомость по форме, утвержденной приказом Департамента, в которой определяется суммарное значение баллов. Секретарь Совета в течение 3 рабочих дней размещает итоговую ведомость в информационно-телекоммуникационной сети Интернет на официальном сайте Департамента www.depprom.admhmao.ru в разделе «Деятельность/Туризм» и тематическом сайте www.tourism.admhmao.ru в разделе «Государственная поддержка туризма».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В соответствии с итоговой ведомостью Совет принимает решение о победителях Конкурса, которое отражается в протоколе по форме, утвержденной приказом Департамента. Подготовка протокола осуществляется секретарем Совета в течение 3 рабочих дней со дня проведения открытой (публичной) защиты.</w:t>
            </w:r>
          </w:p>
          <w:p w:rsidR="00B83F52" w:rsidRPr="00E845BF" w:rsidRDefault="00E845BF">
            <w:pPr>
              <w:ind w:firstLine="397"/>
              <w:jc w:val="both"/>
            </w:pPr>
            <w:r w:rsidRPr="00E845BF">
              <w:t>Департамент в течение 3 рабочих дней, после подписания протокола председательствующим и секретарем Совета, размещает протокол в информационно-телекоммуникационной сети Интернет на официальном сайте Департамента www.depprom.admhmao.ru в разделе «Деятельность/Туризм» и тематическом сайте www.tourism.admhmao.ru в разделе «Государственная поддержка туризма».</w:t>
            </w:r>
          </w:p>
          <w:p w:rsidR="00B83F52" w:rsidRPr="00E845BF" w:rsidRDefault="00E845BF">
            <w:pPr>
              <w:ind w:firstLine="397"/>
              <w:jc w:val="both"/>
            </w:pPr>
            <w:r w:rsidRPr="006167C7">
              <w:t xml:space="preserve">Департамент в течение 10 рабочих дней со дня подписания протокола издает приказ о присуждении гранта, в котором содержится информация о </w:t>
            </w:r>
            <w:proofErr w:type="spellStart"/>
            <w:r w:rsidRPr="006167C7">
              <w:t>грантополучателе</w:t>
            </w:r>
            <w:proofErr w:type="spellEnd"/>
            <w:r w:rsidRPr="006167C7">
              <w:t xml:space="preserve"> (наименование организации, реквизиты), направление и степень гранта, сумма гранта.</w:t>
            </w:r>
          </w:p>
        </w:tc>
      </w:tr>
    </w:tbl>
    <w:p w:rsidR="00B83F52" w:rsidRPr="00E845BF" w:rsidRDefault="00B83F52">
      <w:pPr>
        <w:jc w:val="right"/>
      </w:pPr>
    </w:p>
    <w:sectPr w:rsidR="00B83F52" w:rsidRPr="00E845BF">
      <w:pgSz w:w="11906" w:h="16838"/>
      <w:pgMar w:top="719" w:right="850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52"/>
    <w:rsid w:val="000942CD"/>
    <w:rsid w:val="00111E7B"/>
    <w:rsid w:val="006167C7"/>
    <w:rsid w:val="00B83F52"/>
    <w:rsid w:val="00C1723E"/>
    <w:rsid w:val="00E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lfaen" w:hAnsi="Sylfaen" w:cs="Sylfae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lfaen" w:hAnsi="Sylfaen" w:cs="Sylfae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lfaen" w:hAnsi="Sylfaen" w:cs="Sylfae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lfaen" w:hAnsi="Sylfaen" w:cs="Sylfae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lfaen" w:hAnsi="Sylfaen" w:cs="Sylfae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lfaen" w:hAnsi="Sylfaen" w:cs="Sylfae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lfaen" w:hAnsi="Sylfaen" w:cs="Sylfae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lfaen" w:hAnsi="Sylfaen" w:cs="Sylfae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lfaen" w:hAnsi="Sylfaen" w:cs="Sylfae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1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spanheaderlot21">
    <w:name w:val="span_header_lot_21"/>
    <w:qFormat/>
    <w:rPr>
      <w:b/>
      <w:bCs/>
      <w:sz w:val="20"/>
      <w:szCs w:val="20"/>
    </w:rPr>
  </w:style>
  <w:style w:type="character" w:customStyle="1" w:styleId="labeltextlot21">
    <w:name w:val="label_text_lot_21"/>
    <w:qFormat/>
    <w:rPr>
      <w:color w:val="0000FF"/>
      <w:sz w:val="20"/>
      <w:szCs w:val="20"/>
    </w:rPr>
  </w:style>
  <w:style w:type="character" w:customStyle="1" w:styleId="labelbodytext11">
    <w:name w:val="label_body_text_11"/>
    <w:qFormat/>
    <w:rPr>
      <w:color w:val="0000FF"/>
      <w:sz w:val="20"/>
      <w:szCs w:val="20"/>
    </w:rPr>
  </w:style>
  <w:style w:type="character" w:customStyle="1" w:styleId="spanbodytext21">
    <w:name w:val="span_body_text_21"/>
    <w:qFormat/>
    <w:rPr>
      <w:sz w:val="20"/>
      <w:szCs w:val="20"/>
    </w:rPr>
  </w:style>
  <w:style w:type="character" w:customStyle="1" w:styleId="a3">
    <w:name w:val="Основной текст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a4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rFonts w:ascii="Times New Roman" w:hAnsi="Times New Roman" w:cs="Sylfaen"/>
      <w:sz w:val="24"/>
    </w:rPr>
  </w:style>
  <w:style w:type="character" w:customStyle="1" w:styleId="ListLabel28">
    <w:name w:val="ListLabel 28"/>
    <w:qFormat/>
    <w:rPr>
      <w:rFonts w:ascii="Times New Roman" w:hAnsi="Times New Roman" w:cs="Times New Roman"/>
      <w:sz w:val="28"/>
      <w:szCs w:val="28"/>
    </w:rPr>
  </w:style>
  <w:style w:type="character" w:customStyle="1" w:styleId="ListLabel97">
    <w:name w:val="ListLabel 97"/>
    <w:qFormat/>
    <w:rPr>
      <w:rFonts w:cstheme="minorHAnsi"/>
      <w:sz w:val="22"/>
      <w:szCs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20"/>
    </w:pPr>
    <w:rPr>
      <w:lang w:val="x-none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qFormat/>
    <w:pPr>
      <w:spacing w:before="280" w:after="280"/>
    </w:p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ac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lang w:val="x-none"/>
    </w:rPr>
  </w:style>
  <w:style w:type="paragraph" w:customStyle="1" w:styleId="af">
    <w:name w:val="Термин"/>
    <w:basedOn w:val="a"/>
    <w:next w:val="af0"/>
    <w:qFormat/>
    <w:rPr>
      <w:szCs w:val="20"/>
    </w:rPr>
  </w:style>
  <w:style w:type="paragraph" w:customStyle="1" w:styleId="af0">
    <w:name w:val="Список определений"/>
    <w:basedOn w:val="a"/>
    <w:next w:val="af"/>
    <w:qFormat/>
    <w:pPr>
      <w:ind w:left="360"/>
    </w:pPr>
    <w:rPr>
      <w:szCs w:val="20"/>
    </w:rPr>
  </w:style>
  <w:style w:type="paragraph" w:customStyle="1" w:styleId="11">
    <w:name w:val="Обычный1"/>
    <w:qFormat/>
    <w:pPr>
      <w:suppressAutoHyphens/>
    </w:pPr>
    <w:rPr>
      <w:rFonts w:ascii="Arial" w:hAnsi="Arial" w:cs="Arial"/>
      <w:sz w:val="18"/>
      <w:lang w:eastAsia="zh-CN"/>
    </w:rPr>
  </w:style>
  <w:style w:type="paragraph" w:styleId="af1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qFormat/>
    <w:pPr>
      <w:suppressAutoHyphens/>
      <w:ind w:right="19772" w:firstLine="720"/>
    </w:pPr>
    <w:rPr>
      <w:rFonts w:ascii="Arial" w:hAnsi="Arial" w:cs="Arial"/>
      <w:sz w:val="24"/>
      <w:lang w:eastAsia="zh-CN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bCs/>
      <w:sz w:val="24"/>
      <w:lang w:eastAsia="zh-CN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lfaen" w:hAnsi="Sylfaen" w:cs="Sylfae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lfaen" w:hAnsi="Sylfaen" w:cs="Sylfae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lfaen" w:hAnsi="Sylfaen" w:cs="Sylfae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lfaen" w:hAnsi="Sylfaen" w:cs="Sylfae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lfaen" w:hAnsi="Sylfaen" w:cs="Sylfae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lfaen" w:hAnsi="Sylfaen" w:cs="Sylfae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lfaen" w:hAnsi="Sylfaen" w:cs="Sylfae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lfaen" w:hAnsi="Sylfaen" w:cs="Sylfae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lfaen" w:hAnsi="Sylfaen" w:cs="Sylfae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1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spanheaderlot21">
    <w:name w:val="span_header_lot_21"/>
    <w:qFormat/>
    <w:rPr>
      <w:b/>
      <w:bCs/>
      <w:sz w:val="20"/>
      <w:szCs w:val="20"/>
    </w:rPr>
  </w:style>
  <w:style w:type="character" w:customStyle="1" w:styleId="labeltextlot21">
    <w:name w:val="label_text_lot_21"/>
    <w:qFormat/>
    <w:rPr>
      <w:color w:val="0000FF"/>
      <w:sz w:val="20"/>
      <w:szCs w:val="20"/>
    </w:rPr>
  </w:style>
  <w:style w:type="character" w:customStyle="1" w:styleId="labelbodytext11">
    <w:name w:val="label_body_text_11"/>
    <w:qFormat/>
    <w:rPr>
      <w:color w:val="0000FF"/>
      <w:sz w:val="20"/>
      <w:szCs w:val="20"/>
    </w:rPr>
  </w:style>
  <w:style w:type="character" w:customStyle="1" w:styleId="spanbodytext21">
    <w:name w:val="span_body_text_21"/>
    <w:qFormat/>
    <w:rPr>
      <w:sz w:val="20"/>
      <w:szCs w:val="20"/>
    </w:rPr>
  </w:style>
  <w:style w:type="character" w:customStyle="1" w:styleId="a3">
    <w:name w:val="Основной текст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a4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rFonts w:ascii="Times New Roman" w:hAnsi="Times New Roman" w:cs="Sylfaen"/>
      <w:sz w:val="24"/>
    </w:rPr>
  </w:style>
  <w:style w:type="character" w:customStyle="1" w:styleId="ListLabel28">
    <w:name w:val="ListLabel 28"/>
    <w:qFormat/>
    <w:rPr>
      <w:rFonts w:ascii="Times New Roman" w:hAnsi="Times New Roman" w:cs="Times New Roman"/>
      <w:sz w:val="28"/>
      <w:szCs w:val="28"/>
    </w:rPr>
  </w:style>
  <w:style w:type="character" w:customStyle="1" w:styleId="ListLabel97">
    <w:name w:val="ListLabel 97"/>
    <w:qFormat/>
    <w:rPr>
      <w:rFonts w:cstheme="minorHAnsi"/>
      <w:sz w:val="22"/>
      <w:szCs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20"/>
    </w:pPr>
    <w:rPr>
      <w:lang w:val="x-none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qFormat/>
    <w:pPr>
      <w:spacing w:before="280" w:after="280"/>
    </w:p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ac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lang w:val="x-none"/>
    </w:rPr>
  </w:style>
  <w:style w:type="paragraph" w:customStyle="1" w:styleId="af">
    <w:name w:val="Термин"/>
    <w:basedOn w:val="a"/>
    <w:next w:val="af0"/>
    <w:qFormat/>
    <w:rPr>
      <w:szCs w:val="20"/>
    </w:rPr>
  </w:style>
  <w:style w:type="paragraph" w:customStyle="1" w:styleId="af0">
    <w:name w:val="Список определений"/>
    <w:basedOn w:val="a"/>
    <w:next w:val="af"/>
    <w:qFormat/>
    <w:pPr>
      <w:ind w:left="360"/>
    </w:pPr>
    <w:rPr>
      <w:szCs w:val="20"/>
    </w:rPr>
  </w:style>
  <w:style w:type="paragraph" w:customStyle="1" w:styleId="11">
    <w:name w:val="Обычный1"/>
    <w:qFormat/>
    <w:pPr>
      <w:suppressAutoHyphens/>
    </w:pPr>
    <w:rPr>
      <w:rFonts w:ascii="Arial" w:hAnsi="Arial" w:cs="Arial"/>
      <w:sz w:val="18"/>
      <w:lang w:eastAsia="zh-CN"/>
    </w:rPr>
  </w:style>
  <w:style w:type="paragraph" w:styleId="af1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qFormat/>
    <w:pPr>
      <w:suppressAutoHyphens/>
      <w:ind w:right="19772" w:firstLine="720"/>
    </w:pPr>
    <w:rPr>
      <w:rFonts w:ascii="Arial" w:hAnsi="Arial" w:cs="Arial"/>
      <w:sz w:val="24"/>
      <w:lang w:eastAsia="zh-CN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 w:cs="Arial"/>
      <w:b/>
      <w:bCs/>
      <w:sz w:val="24"/>
      <w:lang w:eastAsia="zh-CN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/Users/SLUHAE~1/AppData/Local/Temp/%D0%9F%D1%80%D0%B8%D0%BB%D0%BE%D0%B6%D0%B5%D0%BD%D0%B8%D0%B5%2010%20%D0%9F%D0%BE%D1%80%D1%8F%D0%B4%D0%BE%D0%BA%20%D0%BF%D0%BE%20%D0%B3%D1%80%D0%B0%D0%BD%D1%82%D0%B0%D0%BC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ArabadghiSV</dc:creator>
  <dc:description/>
  <cp:lastModifiedBy>Арабаджи Сергей Владимирович</cp:lastModifiedBy>
  <cp:revision>15</cp:revision>
  <cp:lastPrinted>2018-01-10T12:35:00Z</cp:lastPrinted>
  <dcterms:created xsi:type="dcterms:W3CDTF">2019-02-19T11:09:00Z</dcterms:created>
  <dcterms:modified xsi:type="dcterms:W3CDTF">2019-02-21T13:03:00Z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