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9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69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 </w:t>
      </w:r>
      <w:r/>
    </w:p>
    <w:p>
      <w:pPr>
        <w:pStyle w:val="66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72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69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69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</w:p>
    <w:p>
      <w:pPr>
        <w:pStyle w:val="670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669"/>
        <w:jc w:val="right"/>
      </w:pPr>
      <w:r/>
      <w:r/>
    </w:p>
    <w:p>
      <w:pPr>
        <w:pStyle w:val="669"/>
        <w:jc w:val="right"/>
      </w:pPr>
      <w:r/>
      <w:r/>
    </w:p>
    <w:p>
      <w:pPr>
        <w:pStyle w:val="670"/>
      </w:pPr>
      <w:r>
        <w:t xml:space="preserve">ПОСТАНОВЛЕНИЕ</w:t>
      </w:r>
      <w:r/>
    </w:p>
    <w:p>
      <w:pPr>
        <w:pStyle w:val="669"/>
      </w:pPr>
      <w:r/>
      <w:r/>
    </w:p>
    <w:p>
      <w:pPr>
        <w:pStyle w:val="677"/>
        <w:jc w:val="both"/>
      </w:pPr>
      <w:r>
        <w:t xml:space="preserve"> </w:t>
      </w:r>
      <w:r/>
    </w:p>
    <w:p>
      <w:pPr>
        <w:pStyle w:val="677"/>
        <w:jc w:val="both"/>
      </w:pPr>
      <w:r>
        <w:t xml:space="preserve">от 20</w:t>
      </w:r>
      <w:r>
        <w:t xml:space="preserve"> </w:t>
      </w:r>
      <w:r>
        <w:t xml:space="preserve">ноября</w:t>
      </w:r>
      <w:r>
        <w:t xml:space="preserve"> </w:t>
      </w:r>
      <w:r>
        <w:t xml:space="preserve">20</w:t>
      </w:r>
      <w:r>
        <w:t xml:space="preserve">25</w:t>
      </w:r>
      <w:r>
        <w:t xml:space="preserve"> года     </w:t>
      </w:r>
      <w:r>
        <w:t xml:space="preserve">  </w:t>
      </w:r>
      <w:r>
        <w:t xml:space="preserve">                                                         </w:t>
      </w:r>
      <w:r>
        <w:t xml:space="preserve">        </w:t>
      </w:r>
      <w:r>
        <w:t xml:space="preserve">             </w:t>
      </w:r>
      <w:r>
        <w:t xml:space="preserve">                     № 764</w:t>
      </w:r>
      <w:r/>
    </w:p>
    <w:p>
      <w:pPr>
        <w:pStyle w:val="677"/>
        <w:jc w:val="both"/>
      </w:pPr>
      <w:r/>
      <w:r/>
    </w:p>
    <w:p>
      <w:pPr>
        <w:pStyle w:val="677"/>
        <w:jc w:val="both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признании</w:t>
      </w:r>
      <w:r>
        <w:rPr>
          <w:b/>
          <w:sz w:val="24"/>
          <w:szCs w:val="24"/>
        </w:rPr>
        <w:t xml:space="preserve"> утратившим силу постановления</w:t>
      </w:r>
      <w:r>
        <w:rPr>
          <w:b/>
          <w:sz w:val="24"/>
          <w:szCs w:val="24"/>
        </w:rPr>
        <w:t xml:space="preserve"> администрации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Белоярского района</w:t>
      </w:r>
      <w:r>
        <w:rPr>
          <w:b/>
          <w:sz w:val="24"/>
          <w:szCs w:val="24"/>
        </w:rPr>
        <w:t xml:space="preserve"> от 27 мая 2013 года № 731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69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. Признать</w:t>
      </w:r>
      <w:r>
        <w:rPr>
          <w:sz w:val="24"/>
          <w:szCs w:val="24"/>
        </w:rPr>
        <w:t xml:space="preserve"> утратившим силу </w:t>
      </w:r>
      <w:r>
        <w:rPr>
          <w:rFonts w:ascii="TimesNewRomanPSMT" w:hAnsi="TimesNewRomanPSMT"/>
          <w:color w:val="000000"/>
          <w:sz w:val="24"/>
          <w:szCs w:val="24"/>
        </w:rPr>
        <w:t xml:space="preserve">постановление администрации Белоярского района от 27 мая 2013 года № 731 </w:t>
      </w:r>
      <w:r>
        <w:rPr>
          <w:sz w:val="24"/>
          <w:szCs w:val="24"/>
        </w:rPr>
        <w:t xml:space="preserve">«</w:t>
      </w:r>
      <w:r>
        <w:rPr>
          <w:rFonts w:ascii="TimesNewRomanPSMT" w:hAnsi="TimesNewRomanPSMT"/>
          <w:color w:val="000000"/>
          <w:sz w:val="24"/>
          <w:szCs w:val="24"/>
        </w:rPr>
        <w:t xml:space="preserve">Об установлении цены путевки в лагеря с дневным и к</w:t>
      </w:r>
      <w:r>
        <w:rPr>
          <w:rFonts w:ascii="TimesNewRomanPSMT" w:hAnsi="TimesNewRomanPSMT"/>
          <w:color w:val="000000"/>
          <w:sz w:val="24"/>
          <w:szCs w:val="24"/>
        </w:rPr>
        <w:t xml:space="preserve">руглосуточным пребыванием детей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на базе муниципальных общеобразовательных учре</w:t>
      </w:r>
      <w:r>
        <w:rPr>
          <w:rFonts w:ascii="TimesNewRomanPSMT" w:hAnsi="TimesNewRomanPSMT"/>
          <w:color w:val="000000"/>
          <w:sz w:val="24"/>
          <w:szCs w:val="24"/>
        </w:rPr>
        <w:t xml:space="preserve">ждений Белоярского района, </w:t>
      </w:r>
      <w:r>
        <w:rPr>
          <w:rFonts w:ascii="TimesNewRomanPSMT" w:hAnsi="TimesNewRomanPSMT"/>
          <w:color w:val="000000"/>
          <w:sz w:val="24"/>
          <w:szCs w:val="24"/>
        </w:rPr>
        <w:t xml:space="preserve">муниципального автономного образовательного учрежде</w:t>
      </w:r>
      <w:r>
        <w:rPr>
          <w:rFonts w:ascii="TimesNewRomanPSMT" w:hAnsi="TimesNewRomanPSMT"/>
          <w:color w:val="000000"/>
          <w:sz w:val="24"/>
          <w:szCs w:val="24"/>
        </w:rPr>
        <w:t xml:space="preserve">ния дополнительного образования </w:t>
      </w:r>
      <w:r>
        <w:rPr>
          <w:rFonts w:ascii="TimesNewRomanPSMT" w:hAnsi="TimesNewRomanPSMT"/>
          <w:color w:val="000000"/>
          <w:sz w:val="24"/>
          <w:szCs w:val="24"/>
        </w:rPr>
        <w:t xml:space="preserve">  </w:t>
      </w:r>
      <w:r>
        <w:rPr>
          <w:rFonts w:ascii="TimesNewRomanPSMT" w:hAnsi="TimesNewRomanPSMT"/>
          <w:color w:val="000000"/>
          <w:sz w:val="24"/>
          <w:szCs w:val="24"/>
        </w:rPr>
        <w:t xml:space="preserve">детей 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Белоярского </w:t>
      </w:r>
      <w:r>
        <w:rPr>
          <w:rFonts w:ascii="TimesNewRomanPSMT" w:hAnsi="TimesNewRomanPSMT"/>
          <w:color w:val="000000"/>
          <w:sz w:val="24"/>
          <w:szCs w:val="24"/>
        </w:rPr>
        <w:t xml:space="preserve">   </w:t>
      </w:r>
      <w:r>
        <w:rPr>
          <w:rFonts w:ascii="TimesNewRomanPSMT" w:hAnsi="TimesNewRomanPSMT"/>
          <w:color w:val="000000"/>
          <w:sz w:val="24"/>
          <w:szCs w:val="24"/>
        </w:rPr>
        <w:t xml:space="preserve">района </w:t>
      </w:r>
      <w:r>
        <w:rPr>
          <w:rFonts w:ascii="TimesNewRomanPSMT" w:hAnsi="TimesNewRomanPSMT"/>
          <w:color w:val="000000"/>
          <w:sz w:val="24"/>
          <w:szCs w:val="24"/>
        </w:rPr>
        <w:t xml:space="preserve">  </w:t>
      </w:r>
      <w:r>
        <w:rPr>
          <w:rFonts w:ascii="TimesNewRomanPSMT" w:hAnsi="TimesNewRomanPSMT"/>
          <w:color w:val="000000"/>
          <w:sz w:val="24"/>
          <w:szCs w:val="24"/>
        </w:rPr>
        <w:t xml:space="preserve">«Дворец </w:t>
      </w:r>
      <w:r>
        <w:rPr>
          <w:rFonts w:ascii="TimesNewRomanPSMT" w:hAnsi="TimesNewRomanPSMT"/>
          <w:color w:val="000000"/>
          <w:sz w:val="24"/>
          <w:szCs w:val="24"/>
        </w:rPr>
        <w:t xml:space="preserve">   </w:t>
      </w:r>
      <w:r>
        <w:rPr>
          <w:rFonts w:ascii="TimesNewRomanPSMT" w:hAnsi="TimesNewRomanPSMT"/>
          <w:color w:val="000000"/>
          <w:sz w:val="24"/>
          <w:szCs w:val="24"/>
        </w:rPr>
        <w:t xml:space="preserve">детского (юношеского) творчества г.</w:t>
      </w:r>
      <w:r>
        <w:rPr>
          <w:rFonts w:ascii="TimesNewRomanPSMT" w:hAnsi="TimesNewRomanPSMT"/>
          <w:color w:val="000000"/>
          <w:sz w:val="24"/>
          <w:szCs w:val="24"/>
        </w:rPr>
        <w:t xml:space="preserve"> Белоярский», </w:t>
      </w:r>
      <w:r>
        <w:rPr>
          <w:rFonts w:ascii="TimesNewRomanPSMT" w:hAnsi="TimesNewRomanPSMT"/>
          <w:color w:val="000000"/>
          <w:sz w:val="24"/>
          <w:szCs w:val="24"/>
        </w:rPr>
        <w:t xml:space="preserve">муниципального бюджетного образовательного учрежде</w:t>
      </w:r>
      <w:r>
        <w:rPr>
          <w:rFonts w:ascii="TimesNewRomanPSMT" w:hAnsi="TimesNewRomanPSMT"/>
          <w:color w:val="000000"/>
          <w:sz w:val="24"/>
          <w:szCs w:val="24"/>
        </w:rPr>
        <w:t xml:space="preserve">ния дополнительного образования </w:t>
      </w:r>
      <w:r>
        <w:rPr>
          <w:rFonts w:ascii="TimesNewRomanPSMT" w:hAnsi="TimesNewRomanPSMT"/>
          <w:color w:val="000000"/>
          <w:sz w:val="24"/>
          <w:szCs w:val="24"/>
        </w:rPr>
        <w:t xml:space="preserve">детей Белоярского района «Детский (подростковый) центр г.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/>
          <w:color w:val="000000"/>
          <w:sz w:val="24"/>
          <w:szCs w:val="24"/>
        </w:rPr>
        <w:t xml:space="preserve">Белоярский»</w:t>
      </w:r>
      <w:r>
        <w:rPr>
          <w:rFonts w:ascii="TimesNewRomanPSMT" w:hAnsi="TimesNewRomanPSMT"/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</w:p>
    <w:p>
      <w:pPr>
        <w:pStyle w:val="66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9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9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С.П.Маненков</w:t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851" w:right="851" w:bottom="851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rPr>
        <w:rStyle w:val="692"/>
        <w:sz w:val="24"/>
        <w:szCs w:val="24"/>
      </w:rPr>
      <w:framePr w:wrap="around" w:vAnchor="text" w:hAnchor="page" w:x="6382" w:y="61"/>
    </w:pPr>
    <w:r>
      <w:rPr>
        <w:rStyle w:val="692"/>
        <w:sz w:val="24"/>
        <w:szCs w:val="24"/>
      </w:rPr>
      <w:fldChar w:fldCharType="begin"/>
    </w:r>
    <w:r>
      <w:rPr>
        <w:rStyle w:val="692"/>
        <w:sz w:val="24"/>
        <w:szCs w:val="24"/>
      </w:rPr>
      <w:instrText xml:space="preserve">PAGE  </w:instrText>
    </w:r>
    <w:r>
      <w:rPr>
        <w:rStyle w:val="692"/>
        <w:sz w:val="24"/>
        <w:szCs w:val="24"/>
      </w:rPr>
      <w:fldChar w:fldCharType="separate"/>
    </w:r>
    <w:r>
      <w:rPr>
        <w:rStyle w:val="692"/>
        <w:sz w:val="24"/>
        <w:szCs w:val="24"/>
      </w:rPr>
      <w:t xml:space="preserve">2</w:t>
    </w:r>
    <w:r>
      <w:rPr>
        <w:rStyle w:val="692"/>
        <w:sz w:val="24"/>
        <w:szCs w:val="24"/>
      </w:rPr>
      <w:fldChar w:fldCharType="end"/>
    </w:r>
    <w:r>
      <w:rPr>
        <w:rStyle w:val="692"/>
        <w:sz w:val="24"/>
        <w:szCs w:val="24"/>
      </w:rPr>
    </w:r>
    <w:r>
      <w:rPr>
        <w:rStyle w:val="692"/>
        <w:sz w:val="24"/>
        <w:szCs w:val="24"/>
      </w:rPr>
    </w:r>
  </w:p>
  <w:p>
    <w:pPr>
      <w:pStyle w:val="6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1"/>
      <w:rPr>
        <w:rStyle w:val="692"/>
      </w:rPr>
      <w:framePr w:wrap="around" w:vAnchor="text" w:hAnchor="margin" w:xAlign="center" w:y="1"/>
    </w:pPr>
    <w:r>
      <w:rPr>
        <w:rStyle w:val="692"/>
      </w:rPr>
      <w:fldChar w:fldCharType="begin"/>
    </w:r>
    <w:r>
      <w:rPr>
        <w:rStyle w:val="692"/>
      </w:rPr>
      <w:instrText xml:space="preserve">PAGE  </w:instrText>
    </w:r>
    <w:r>
      <w:rPr>
        <w:rStyle w:val="692"/>
      </w:rPr>
      <w:fldChar w:fldCharType="end"/>
    </w:r>
    <w:r>
      <w:rPr>
        <w:rStyle w:val="692"/>
      </w:rPr>
    </w:r>
    <w:r>
      <w:rPr>
        <w:rStyle w:val="692"/>
      </w:rPr>
    </w:r>
  </w:p>
  <w:p>
    <w:pPr>
      <w:pStyle w:val="6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20" w:hanging="360"/>
        <w:tabs>
          <w:tab w:val="num" w:pos="10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  <w:tabs>
          <w:tab w:val="num" w:pos="17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  <w:tabs>
          <w:tab w:val="num" w:pos="24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  <w:tabs>
          <w:tab w:val="num" w:pos="31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  <w:tabs>
          <w:tab w:val="num" w:pos="39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  <w:tabs>
          <w:tab w:val="num" w:pos="46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  <w:tabs>
          <w:tab w:val="num" w:pos="53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  <w:tabs>
          <w:tab w:val="num" w:pos="60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  <w:tabs>
          <w:tab w:val="num" w:pos="6780" w:leader="none"/>
        </w:tabs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9"/>
    <w:next w:val="66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9"/>
    <w:next w:val="66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next w:val="669"/>
    <w:link w:val="669"/>
    <w:qFormat/>
    <w:rPr>
      <w:lang w:val="ru-RU" w:eastAsia="ru-RU" w:bidi="ar-SA"/>
    </w:rPr>
  </w:style>
  <w:style w:type="paragraph" w:styleId="670">
    <w:name w:val="Заголовок 1"/>
    <w:basedOn w:val="669"/>
    <w:next w:val="669"/>
    <w:link w:val="669"/>
    <w:qFormat/>
    <w:pPr>
      <w:jc w:val="center"/>
      <w:keepNext/>
      <w:outlineLvl w:val="0"/>
    </w:pPr>
    <w:rPr>
      <w:b/>
      <w:sz w:val="28"/>
    </w:rPr>
  </w:style>
  <w:style w:type="paragraph" w:styleId="671">
    <w:name w:val="Заголовок 2"/>
    <w:basedOn w:val="669"/>
    <w:next w:val="669"/>
    <w:link w:val="66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72">
    <w:name w:val="Заголовок 3"/>
    <w:basedOn w:val="669"/>
    <w:next w:val="669"/>
    <w:link w:val="669"/>
    <w:qFormat/>
    <w:pPr>
      <w:jc w:val="center"/>
      <w:keepNext/>
      <w:outlineLvl w:val="2"/>
    </w:pPr>
    <w:rPr>
      <w:sz w:val="28"/>
    </w:rPr>
  </w:style>
  <w:style w:type="paragraph" w:styleId="673">
    <w:name w:val="Заголовок 4"/>
    <w:basedOn w:val="669"/>
    <w:next w:val="669"/>
    <w:link w:val="66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674">
    <w:name w:val="Основной шрифт абзаца"/>
    <w:next w:val="674"/>
    <w:link w:val="669"/>
    <w:semiHidden/>
  </w:style>
  <w:style w:type="table" w:styleId="675">
    <w:name w:val="Обычная таблица"/>
    <w:next w:val="675"/>
    <w:link w:val="669"/>
    <w:uiPriority w:val="99"/>
    <w:semiHidden/>
    <w:unhideWhenUsed/>
    <w:tblPr/>
  </w:style>
  <w:style w:type="numbering" w:styleId="676">
    <w:name w:val="Нет списка"/>
    <w:next w:val="676"/>
    <w:link w:val="669"/>
    <w:uiPriority w:val="99"/>
    <w:semiHidden/>
    <w:unhideWhenUsed/>
  </w:style>
  <w:style w:type="paragraph" w:styleId="677">
    <w:name w:val="Основной текст с отступом 3"/>
    <w:basedOn w:val="669"/>
    <w:next w:val="677"/>
    <w:link w:val="697"/>
    <w:pPr>
      <w:jc w:val="center"/>
    </w:pPr>
    <w:rPr>
      <w:sz w:val="24"/>
    </w:rPr>
  </w:style>
  <w:style w:type="paragraph" w:styleId="678">
    <w:name w:val="Текст выноски"/>
    <w:basedOn w:val="669"/>
    <w:next w:val="678"/>
    <w:link w:val="669"/>
    <w:semiHidden/>
    <w:rPr>
      <w:rFonts w:ascii="Tahoma" w:hAnsi="Tahoma" w:cs="Tahoma"/>
      <w:sz w:val="16"/>
      <w:szCs w:val="16"/>
    </w:rPr>
  </w:style>
  <w:style w:type="paragraph" w:styleId="679">
    <w:name w:val="Основной текст 2"/>
    <w:basedOn w:val="669"/>
    <w:next w:val="679"/>
    <w:link w:val="669"/>
    <w:semiHidden/>
    <w:pPr>
      <w:spacing w:after="120" w:line="480" w:lineRule="auto"/>
    </w:pPr>
    <w:rPr>
      <w:sz w:val="24"/>
      <w:szCs w:val="24"/>
    </w:rPr>
  </w:style>
  <w:style w:type="paragraph" w:styleId="680">
    <w:name w:val="ConsPlusNormal"/>
    <w:next w:val="680"/>
    <w:link w:val="66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81">
    <w:name w:val="ConsPlusNonformat"/>
    <w:next w:val="681"/>
    <w:link w:val="66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82">
    <w:name w:val="Основной текст"/>
    <w:basedOn w:val="669"/>
    <w:next w:val="682"/>
    <w:link w:val="669"/>
    <w:semiHidden/>
    <w:pPr>
      <w:spacing w:after="120"/>
    </w:pPr>
  </w:style>
  <w:style w:type="paragraph" w:styleId="683">
    <w:name w:val="ConsPlusTitle"/>
    <w:next w:val="683"/>
    <w:link w:val="66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84">
    <w:name w:val="Обычный (веб)"/>
    <w:basedOn w:val="669"/>
    <w:next w:val="684"/>
    <w:link w:val="669"/>
    <w:semiHidden/>
    <w:pPr>
      <w:spacing w:before="100" w:beforeAutospacing="1" w:after="100" w:afterAutospacing="1"/>
    </w:pPr>
    <w:rPr>
      <w:sz w:val="24"/>
      <w:szCs w:val="24"/>
    </w:rPr>
  </w:style>
  <w:style w:type="paragraph" w:styleId="685">
    <w:name w:val="ConsNormal"/>
    <w:next w:val="685"/>
    <w:link w:val="669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86">
    <w:name w:val="Body Text 21"/>
    <w:basedOn w:val="669"/>
    <w:next w:val="686"/>
    <w:link w:val="669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687">
    <w:name w:val="Основной текст с отступом"/>
    <w:basedOn w:val="669"/>
    <w:next w:val="687"/>
    <w:link w:val="669"/>
    <w:semiHidden/>
    <w:pPr>
      <w:ind w:left="283"/>
      <w:spacing w:after="120"/>
    </w:pPr>
  </w:style>
  <w:style w:type="paragraph" w:styleId="688">
    <w:name w:val="Название"/>
    <w:basedOn w:val="669"/>
    <w:next w:val="688"/>
    <w:link w:val="669"/>
    <w:qFormat/>
    <w:pPr>
      <w:jc w:val="center"/>
    </w:pPr>
    <w:rPr>
      <w:b/>
      <w:sz w:val="22"/>
    </w:rPr>
  </w:style>
  <w:style w:type="paragraph" w:styleId="689">
    <w:name w:val="Основной текст 3"/>
    <w:basedOn w:val="669"/>
    <w:next w:val="689"/>
    <w:link w:val="669"/>
    <w:semiHidden/>
    <w:pPr>
      <w:spacing w:after="120"/>
    </w:pPr>
    <w:rPr>
      <w:sz w:val="16"/>
      <w:szCs w:val="16"/>
    </w:rPr>
  </w:style>
  <w:style w:type="table" w:styleId="690">
    <w:name w:val="Сетка таблицы"/>
    <w:basedOn w:val="675"/>
    <w:next w:val="690"/>
    <w:link w:val="669"/>
    <w:tblPr/>
  </w:style>
  <w:style w:type="paragraph" w:styleId="691">
    <w:name w:val="Верхний колонтитул"/>
    <w:basedOn w:val="669"/>
    <w:next w:val="691"/>
    <w:link w:val="669"/>
    <w:pPr>
      <w:tabs>
        <w:tab w:val="center" w:pos="4677" w:leader="none"/>
        <w:tab w:val="right" w:pos="9355" w:leader="none"/>
      </w:tabs>
    </w:pPr>
  </w:style>
  <w:style w:type="character" w:styleId="692">
    <w:name w:val="Номер страницы"/>
    <w:basedOn w:val="674"/>
    <w:next w:val="692"/>
    <w:link w:val="669"/>
  </w:style>
  <w:style w:type="paragraph" w:styleId="693">
    <w:name w:val="Нижний колонтитул"/>
    <w:basedOn w:val="669"/>
    <w:next w:val="693"/>
    <w:link w:val="669"/>
    <w:pPr>
      <w:tabs>
        <w:tab w:val="center" w:pos="4677" w:leader="none"/>
        <w:tab w:val="right" w:pos="9355" w:leader="none"/>
      </w:tabs>
    </w:pPr>
  </w:style>
  <w:style w:type="paragraph" w:styleId="694">
    <w:name w:val="Абзац списка"/>
    <w:basedOn w:val="669"/>
    <w:next w:val="694"/>
    <w:link w:val="669"/>
    <w:qFormat/>
    <w:pPr>
      <w:contextualSpacing/>
      <w:ind w:left="720"/>
    </w:pPr>
    <w:rPr>
      <w:sz w:val="24"/>
      <w:szCs w:val="24"/>
    </w:rPr>
  </w:style>
  <w:style w:type="paragraph" w:styleId="695">
    <w:name w:val="List Paragraph"/>
    <w:basedOn w:val="669"/>
    <w:next w:val="695"/>
    <w:link w:val="669"/>
    <w:pPr>
      <w:ind w:left="720"/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696">
    <w:name w:val="Знак Знак Знак Знак"/>
    <w:basedOn w:val="669"/>
    <w:next w:val="696"/>
    <w:link w:val="66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697">
    <w:name w:val="Основной текст с отступом 3 Знак"/>
    <w:next w:val="697"/>
    <w:link w:val="677"/>
    <w:rPr>
      <w:sz w:val="24"/>
    </w:rPr>
  </w:style>
  <w:style w:type="paragraph" w:styleId="698">
    <w:name w:val=" Знак"/>
    <w:basedOn w:val="669"/>
    <w:next w:val="698"/>
    <w:link w:val="674"/>
    <w:pPr>
      <w:spacing w:after="160" w:line="240" w:lineRule="exact"/>
    </w:pPr>
    <w:rPr>
      <w:rFonts w:ascii="Verdana" w:hAnsi="Verdana"/>
      <w:lang w:val="en-US" w:eastAsia="en-US"/>
    </w:rPr>
  </w:style>
  <w:style w:type="character" w:styleId="881" w:default="1">
    <w:name w:val="Default Paragraph Font"/>
    <w:uiPriority w:val="1"/>
    <w:semiHidden/>
    <w:unhideWhenUsed/>
  </w:style>
  <w:style w:type="numbering" w:styleId="882" w:default="1">
    <w:name w:val="No List"/>
    <w:uiPriority w:val="99"/>
    <w:semiHidden/>
    <w:unhideWhenUsed/>
  </w:style>
  <w:style w:type="table" w:styleId="88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Управление образования МО г. Белоярский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IvanovaAP</cp:lastModifiedBy>
  <cp:revision>14</cp:revision>
  <dcterms:created xsi:type="dcterms:W3CDTF">2019-01-17T06:53:00Z</dcterms:created>
  <dcterms:modified xsi:type="dcterms:W3CDTF">2025-11-20T04:50:56Z</dcterms:modified>
  <cp:version>917504</cp:version>
</cp:coreProperties>
</file>