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360" w:lineRule="auto"/>
        <w:tabs>
          <w:tab w:val="left" w:pos="99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о достижении наилучших значений показателей оценки эффективности деятельности органов местного самоуправления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center"/>
        <w:spacing w:line="360" w:lineRule="auto"/>
        <w:tabs>
          <w:tab w:val="left" w:pos="99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Белоярского района за 2024</w:t>
      </w:r>
      <w:r>
        <w:rPr>
          <w:b/>
          <w:sz w:val="24"/>
          <w:szCs w:val="24"/>
        </w:rPr>
        <w:t xml:space="preserve"> год.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jc w:val="center"/>
        <w:tabs>
          <w:tab w:val="left" w:pos="993" w:leader="none"/>
        </w:tabs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  <w:lang w:eastAsia="en-US"/>
        </w:rPr>
      </w:r>
      <w:r>
        <w:rPr>
          <w:b/>
          <w:color w:val="ff0000"/>
          <w:sz w:val="26"/>
          <w:szCs w:val="26"/>
        </w:rPr>
      </w:r>
      <w:r>
        <w:rPr>
          <w:b/>
          <w:color w:val="ff0000"/>
          <w:sz w:val="26"/>
          <w:szCs w:val="26"/>
        </w:rPr>
      </w:r>
    </w:p>
    <w:p>
      <w:pPr>
        <w:contextualSpacing/>
        <w:ind w:firstLine="709"/>
        <w:jc w:val="both"/>
        <w:spacing w:line="276" w:lineRule="auto"/>
        <w:tabs>
          <w:tab w:val="left" w:pos="993" w:leader="none"/>
        </w:tabs>
        <w:rPr>
          <w:rFonts w:eastAsia="MS Mincho"/>
          <w:color w:val="auto"/>
          <w:sz w:val="24"/>
          <w:szCs w:val="24"/>
          <w:highlight w:val="none"/>
        </w:rPr>
      </w:pPr>
      <w:r>
        <w:rPr>
          <w:rFonts w:eastAsia="MS Mincho"/>
          <w:color w:val="auto"/>
          <w:sz w:val="24"/>
          <w:szCs w:val="24"/>
        </w:rPr>
        <w:t xml:space="preserve">Согласно распоряжению Правительства Ханты-Мансийского автономного округа – Югры от </w:t>
      </w:r>
      <w:r>
        <w:rPr>
          <w:rFonts w:eastAsia="MS Mincho"/>
          <w:color w:val="auto"/>
          <w:sz w:val="24"/>
          <w:szCs w:val="24"/>
        </w:rPr>
        <w:t xml:space="preserve">29</w:t>
      </w:r>
      <w:r>
        <w:rPr>
          <w:rFonts w:eastAsia="MS Mincho"/>
          <w:color w:val="auto"/>
          <w:sz w:val="24"/>
          <w:szCs w:val="24"/>
        </w:rPr>
        <w:t xml:space="preserve"> июля 2025</w:t>
      </w:r>
      <w:r>
        <w:rPr>
          <w:rFonts w:eastAsia="MS Mincho"/>
          <w:color w:val="auto"/>
          <w:sz w:val="24"/>
          <w:szCs w:val="24"/>
        </w:rPr>
        <w:t xml:space="preserve"> года № </w:t>
      </w:r>
      <w:r>
        <w:rPr>
          <w:rFonts w:eastAsia="MS Mincho"/>
          <w:color w:val="auto"/>
          <w:sz w:val="24"/>
          <w:szCs w:val="24"/>
        </w:rPr>
        <w:t xml:space="preserve">349</w:t>
      </w:r>
      <w:r>
        <w:rPr>
          <w:rFonts w:eastAsia="MS Mincho"/>
          <w:color w:val="auto"/>
          <w:sz w:val="24"/>
          <w:szCs w:val="24"/>
        </w:rPr>
        <w:t xml:space="preserve">-рп «О сводном докладе Ханты-Мансийского автономного округа – Югры о результатах мониторинга эффективности деятельности органов местного самоуправления городских округов и муниципальных районов Ханты-Мансийского автономного округа – Югры за 2024</w:t>
      </w:r>
      <w:r>
        <w:rPr>
          <w:rFonts w:eastAsia="MS Mincho"/>
          <w:color w:val="auto"/>
          <w:sz w:val="24"/>
          <w:szCs w:val="24"/>
        </w:rPr>
        <w:t xml:space="preserve"> год и распределении грантов городским округам и муниципальным районам Ханты-Мансийского автономного округа – Югры, достигшим наилучших значений показателей эффективности деятельности» Белоярский район занял </w:t>
      </w:r>
      <w:r>
        <w:rPr>
          <w:rFonts w:eastAsia="MS Mincho"/>
          <w:color w:val="auto"/>
          <w:sz w:val="24"/>
          <w:szCs w:val="24"/>
        </w:rPr>
        <w:t xml:space="preserve">3</w:t>
      </w:r>
      <w:r>
        <w:rPr>
          <w:rFonts w:eastAsia="MS Mincho"/>
          <w:color w:val="auto"/>
          <w:sz w:val="24"/>
          <w:szCs w:val="24"/>
        </w:rPr>
        <w:t xml:space="preserve"> место по результатам оценки эффективности деятельности</w:t>
      </w:r>
      <w:r>
        <w:rPr>
          <w:rFonts w:eastAsia="MS Mincho"/>
          <w:color w:val="auto"/>
          <w:sz w:val="24"/>
          <w:szCs w:val="24"/>
        </w:rPr>
        <w:t xml:space="preserve">.</w:t>
      </w:r>
      <w:r>
        <w:rPr>
          <w:rFonts w:eastAsia="MS Mincho"/>
          <w:color w:val="auto"/>
          <w:sz w:val="24"/>
          <w:szCs w:val="24"/>
          <w:highlight w:val="none"/>
        </w:rPr>
      </w:r>
      <w:r>
        <w:rPr>
          <w:rFonts w:eastAsia="MS Mincho"/>
          <w:color w:val="auto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line="276" w:lineRule="auto"/>
        <w:tabs>
          <w:tab w:val="left" w:pos="993" w:leader="none"/>
        </w:tabs>
        <w:rPr>
          <w:rFonts w:eastAsia="MS Mincho"/>
          <w:color w:val="auto"/>
          <w:sz w:val="24"/>
          <w:szCs w:val="24"/>
        </w:rPr>
      </w:pPr>
      <w:r>
        <w:rPr>
          <w:rFonts w:eastAsia="MS Mincho"/>
          <w:color w:val="auto"/>
          <w:sz w:val="24"/>
          <w:szCs w:val="24"/>
          <w:highlight w:val="none"/>
        </w:rPr>
      </w:r>
      <w:r>
        <w:rPr>
          <w:rFonts w:eastAsia="MS Mincho"/>
          <w:color w:val="auto"/>
          <w:sz w:val="24"/>
          <w:szCs w:val="24"/>
        </w:rPr>
      </w:r>
      <w:r>
        <w:rPr>
          <w:rFonts w:eastAsia="MS Mincho"/>
          <w:color w:val="auto"/>
          <w:sz w:val="24"/>
          <w:szCs w:val="24"/>
        </w:rPr>
      </w:r>
    </w:p>
    <w:p>
      <w:pPr>
        <w:ind w:firstLine="709"/>
        <w:jc w:val="both"/>
        <w:spacing w:line="276" w:lineRule="auto"/>
        <w:tabs>
          <w:tab w:val="left" w:pos="993" w:leader="none"/>
        </w:tabs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Лидирующие позиции (1-5 места) </w:t>
      </w:r>
      <w:r>
        <w:rPr>
          <w:color w:val="auto"/>
          <w:sz w:val="24"/>
          <w:szCs w:val="24"/>
        </w:rPr>
        <w:t xml:space="preserve">Белоярский район достиг по следующим показателям, характеризующим уровень муниципального управления</w:t>
      </w:r>
      <w:r>
        <w:rPr>
          <w:color w:val="auto"/>
          <w:sz w:val="24"/>
          <w:szCs w:val="24"/>
        </w:rPr>
        <w:t xml:space="preserve">: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Доля прибыльных сельскохозяйственных организаций в общем их числе – 4 место</w:t>
      </w:r>
      <w:r>
        <w:rPr>
          <w:color w:val="auto"/>
          <w:sz w:val="24"/>
          <w:szCs w:val="24"/>
          <w:lang w:eastAsia="en-US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53"/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ff0000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lang w:eastAsia="en-US"/>
        </w:rPr>
        <w:t xml:space="preserve">Доля прибыльных сельскохозяйственных предприятий составляет 50%, благодаря мерам государственной поддержки из бюджетов </w:t>
      </w:r>
      <w:r>
        <w:rPr>
          <w:color w:val="000000" w:themeColor="text1"/>
          <w:sz w:val="24"/>
          <w:szCs w:val="24"/>
          <w:lang w:eastAsia="en-US"/>
        </w:rPr>
        <w:t xml:space="preserve">Ханты-Мансийского автономного округа – Югры</w:t>
      </w:r>
      <w:r>
        <w:rPr>
          <w:color w:val="000000" w:themeColor="text1"/>
          <w:sz w:val="24"/>
          <w:szCs w:val="24"/>
          <w:lang w:eastAsia="en-US"/>
        </w:rPr>
        <w:t xml:space="preserve"> и Белоярского района.</w:t>
      </w:r>
      <w:r>
        <w:rPr>
          <w:color w:val="ff0000"/>
          <w:sz w:val="24"/>
          <w:szCs w:val="24"/>
          <w:highlight w:val="none"/>
        </w:rPr>
      </w:r>
      <w:r>
        <w:rPr>
          <w:color w:val="ff0000"/>
          <w:sz w:val="24"/>
          <w:szCs w:val="24"/>
          <w:highlight w:val="none"/>
        </w:rPr>
      </w:r>
    </w:p>
    <w:p>
      <w:pPr>
        <w:pStyle w:val="853"/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Мероприятия, обеспечивающие сохранение лидирующей позиции: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numPr>
          <w:ilvl w:val="0"/>
          <w:numId w:val="8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размещение муниципального заказа на поставку сельскохозяйственной продукции производимой местными товаропроизводителями для нужд бюджетных учреждений социальной сферы;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numPr>
          <w:ilvl w:val="0"/>
          <w:numId w:val="8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предоставление субсидий из бюджета Белоярского района на возмещение затрат в связи с производством </w:t>
      </w:r>
      <w:r>
        <w:rPr>
          <w:color w:val="000000" w:themeColor="text1"/>
          <w:sz w:val="24"/>
          <w:szCs w:val="24"/>
          <w:lang w:eastAsia="en-US"/>
        </w:rPr>
        <w:t xml:space="preserve">сельскохозяйственной продукции;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numPr>
          <w:ilvl w:val="0"/>
          <w:numId w:val="8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содействие сельскохозяйственным товаропроизводителям в участии в выставках-форумах для продвижения продукции на иные рынки сбыта;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numPr>
          <w:ilvl w:val="0"/>
          <w:numId w:val="8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содействие сельскохозяйственным товаропроизводителям в реализации продукции в рамках Соглашений между муниципальными образованиями (ООО СП «Белоярское» реализует продукцию на территории Октябрьского района);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numPr>
          <w:ilvl w:val="0"/>
          <w:numId w:val="8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содействие в ведении хозяйственной деятельности оленеводческих хозяйств, путём предоставления авиатранспорта за счёт сре</w:t>
      </w:r>
      <w:r>
        <w:rPr>
          <w:color w:val="000000" w:themeColor="text1"/>
          <w:sz w:val="24"/>
          <w:szCs w:val="24"/>
          <w:lang w:eastAsia="en-US"/>
        </w:rPr>
        <w:t xml:space="preserve">дств бюджета Белоярского района.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eastAsia="en-US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Среднемесячная номинальная начисленная заработная плата учителей муниципальных общеобразовательных учреждений - 2</w:t>
      </w:r>
      <w:r>
        <w:rPr>
          <w:color w:val="auto"/>
          <w:sz w:val="24"/>
          <w:szCs w:val="24"/>
          <w:lang w:eastAsia="en-US"/>
        </w:rPr>
        <w:t xml:space="preserve"> место</w:t>
      </w:r>
      <w:r>
        <w:rPr>
          <w:color w:val="auto"/>
          <w:sz w:val="24"/>
          <w:szCs w:val="24"/>
          <w:lang w:eastAsia="en-US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eastAsia="Calibri"/>
          <w:color w:val="ff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Рост заработной платы в 202</w:t>
      </w:r>
      <w:r>
        <w:rPr>
          <w:rFonts w:eastAsia="Calibri"/>
          <w:color w:val="000000" w:themeColor="text1"/>
          <w:sz w:val="24"/>
          <w:szCs w:val="24"/>
        </w:rPr>
        <w:t xml:space="preserve">4</w:t>
      </w:r>
      <w:r>
        <w:rPr>
          <w:rFonts w:eastAsia="Calibri"/>
          <w:color w:val="000000" w:themeColor="text1"/>
          <w:sz w:val="24"/>
          <w:szCs w:val="24"/>
        </w:rPr>
        <w:t xml:space="preserve"> году составил 19,6</w:t>
      </w:r>
      <w:r>
        <w:rPr>
          <w:rFonts w:eastAsia="Calibri"/>
          <w:color w:val="000000" w:themeColor="text1"/>
          <w:sz w:val="24"/>
          <w:szCs w:val="24"/>
        </w:rPr>
        <w:t xml:space="preserve">%. В целях доведения уровня заработной платы отдельных категорий работников до показателей, предусмотренных Указами Президента Российской Федерации от 2012 года, были реализованы меры, направленные на достижение целевых показателей </w:t>
      </w:r>
      <w:r>
        <w:rPr>
          <w:rFonts w:eastAsia="Calibri"/>
          <w:color w:val="000000" w:themeColor="text1"/>
          <w:sz w:val="24"/>
          <w:szCs w:val="24"/>
        </w:rPr>
        <w:t xml:space="preserve">по средней заработной плате педагогических работников в общеобразовательных учреждениях. </w:t>
      </w:r>
      <w:r>
        <w:rPr>
          <w:rFonts w:eastAsia="Calibri"/>
          <w:color w:val="000000" w:themeColor="text1"/>
          <w:sz w:val="24"/>
          <w:szCs w:val="24"/>
        </w:rPr>
        <w:t xml:space="preserve">Проведена индексация фонда оплаты труда в общеобразовательных учреждениях с 1 октября 202</w:t>
      </w:r>
      <w:r>
        <w:rPr>
          <w:rFonts w:eastAsia="Calibri"/>
          <w:color w:val="000000" w:themeColor="text1"/>
          <w:sz w:val="24"/>
          <w:szCs w:val="24"/>
        </w:rPr>
        <w:t xml:space="preserve">4</w:t>
      </w:r>
      <w:r>
        <w:rPr>
          <w:rFonts w:eastAsia="Calibri"/>
          <w:color w:val="000000" w:themeColor="text1"/>
          <w:sz w:val="24"/>
          <w:szCs w:val="24"/>
        </w:rPr>
        <w:t xml:space="preserve"> года на </w:t>
      </w:r>
      <w:r>
        <w:rPr>
          <w:rFonts w:eastAsia="Calibri"/>
          <w:color w:val="000000" w:themeColor="text1"/>
          <w:sz w:val="24"/>
          <w:szCs w:val="24"/>
        </w:rPr>
        <w:t xml:space="preserve">4</w:t>
      </w:r>
      <w:r>
        <w:rPr>
          <w:rFonts w:eastAsia="Calibri"/>
          <w:color w:val="000000" w:themeColor="text1"/>
          <w:sz w:val="24"/>
          <w:szCs w:val="24"/>
        </w:rPr>
        <w:t xml:space="preserve"> % (постановление администрации Белоярского района от </w:t>
      </w:r>
      <w:r>
        <w:rPr>
          <w:rFonts w:eastAsia="Calibri"/>
          <w:color w:val="000000" w:themeColor="text1"/>
          <w:sz w:val="24"/>
          <w:szCs w:val="24"/>
        </w:rPr>
        <w:t xml:space="preserve">2</w:t>
      </w:r>
      <w:r>
        <w:rPr>
          <w:rFonts w:eastAsia="Calibri"/>
          <w:color w:val="000000" w:themeColor="text1"/>
          <w:sz w:val="24"/>
          <w:szCs w:val="24"/>
        </w:rPr>
        <w:t xml:space="preserve">6 ноября 202</w:t>
      </w:r>
      <w:r>
        <w:rPr>
          <w:rFonts w:eastAsia="Calibri"/>
          <w:color w:val="000000" w:themeColor="text1"/>
          <w:sz w:val="24"/>
          <w:szCs w:val="24"/>
        </w:rPr>
        <w:t xml:space="preserve">4</w:t>
      </w:r>
      <w:r>
        <w:rPr>
          <w:rFonts w:eastAsia="Calibri"/>
          <w:color w:val="000000" w:themeColor="text1"/>
          <w:sz w:val="24"/>
          <w:szCs w:val="24"/>
        </w:rPr>
        <w:t xml:space="preserve"> года № </w:t>
      </w:r>
      <w:r>
        <w:rPr>
          <w:rFonts w:eastAsia="Calibri"/>
          <w:color w:val="000000" w:themeColor="text1"/>
          <w:sz w:val="24"/>
          <w:szCs w:val="24"/>
        </w:rPr>
        <w:t xml:space="preserve">788</w:t>
      </w:r>
      <w:r>
        <w:rPr>
          <w:rFonts w:eastAsia="Calibri"/>
          <w:color w:val="000000" w:themeColor="text1"/>
          <w:sz w:val="24"/>
          <w:szCs w:val="24"/>
        </w:rPr>
        <w:t xml:space="preserve">).</w:t>
      </w:r>
      <w:r>
        <w:rPr>
          <w:rFonts w:eastAsia="Calibri"/>
          <w:color w:val="ff0000" w:themeColor="text1"/>
          <w:sz w:val="24"/>
          <w:szCs w:val="24"/>
        </w:rPr>
      </w:r>
      <w:r>
        <w:rPr>
          <w:rFonts w:eastAsia="Calibri"/>
          <w:color w:val="ff0000" w:themeColor="text1"/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eastAsia="Calibri"/>
          <w:color w:val="ff0000"/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</w:r>
      <w:r>
        <w:rPr>
          <w:rFonts w:eastAsia="Calibri"/>
          <w:color w:val="ff0000"/>
          <w:sz w:val="24"/>
          <w:szCs w:val="24"/>
        </w:rPr>
      </w:r>
      <w:r>
        <w:rPr>
          <w:rFonts w:eastAsia="Calibri"/>
          <w:color w:val="ff0000"/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eastAsia="Calibri"/>
          <w:color w:val="ff0000"/>
          <w:sz w:val="24"/>
          <w:szCs w:val="24"/>
        </w:rPr>
      </w:pPr>
      <w:r>
        <w:rPr>
          <w:rFonts w:eastAsia="Calibri"/>
          <w:color w:val="ff0000"/>
          <w:sz w:val="24"/>
          <w:szCs w:val="24"/>
        </w:rPr>
      </w:r>
      <w:r>
        <w:rPr>
          <w:rFonts w:eastAsia="Calibri"/>
          <w:color w:val="ff0000"/>
          <w:sz w:val="24"/>
          <w:szCs w:val="24"/>
        </w:rPr>
      </w:r>
      <w:r>
        <w:rPr>
          <w:rFonts w:eastAsia="Calibri"/>
          <w:color w:val="ff0000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  <w:lang w:eastAsia="en-US"/>
        </w:rPr>
        <w:t xml:space="preserve">Доля детей в возрасте 1 – 6 лет, стоящих на учете для определения в муниципальные дошкольные образовательные учреждения, в общей численно</w:t>
      </w:r>
      <w:r>
        <w:rPr>
          <w:color w:val="auto"/>
          <w:sz w:val="24"/>
          <w:szCs w:val="24"/>
          <w:highlight w:val="none"/>
          <w:lang w:eastAsia="en-US"/>
        </w:rPr>
        <w:t xml:space="preserve">сти детей в возрасте 1 – 6 лет - </w:t>
      </w:r>
      <w:r>
        <w:rPr>
          <w:color w:val="auto"/>
          <w:sz w:val="24"/>
          <w:szCs w:val="24"/>
          <w:highlight w:val="none"/>
          <w:lang w:eastAsia="en-US"/>
        </w:rPr>
        <w:t xml:space="preserve">1 место</w:t>
      </w:r>
      <w:r>
        <w:rPr>
          <w:color w:val="auto"/>
          <w:sz w:val="24"/>
          <w:szCs w:val="24"/>
          <w:highlight w:val="none"/>
          <w:lang w:eastAsia="en-US"/>
        </w:rPr>
        <w:t xml:space="preserve">.</w:t>
      </w:r>
      <w:r>
        <w:rPr>
          <w:color w:val="auto"/>
          <w:sz w:val="24"/>
          <w:szCs w:val="24"/>
          <w:highlight w:val="none"/>
        </w:rPr>
      </w:r>
      <w:r>
        <w:rPr>
          <w:color w:val="auto"/>
          <w:sz w:val="24"/>
          <w:szCs w:val="24"/>
          <w:highlight w:val="none"/>
        </w:rPr>
      </w:r>
    </w:p>
    <w:p>
      <w:pPr>
        <w:pStyle w:val="853"/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Белоярский район сохранил лидирующую позицию.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</w:rPr>
        <w:t xml:space="preserve">Доля детей в возрасте 1 – 6 лет, состоящих на учете для определения в муниципальные дошкольные образовательные учреждения, в общей численности детей в возрасте 1 – 6 лет, по состоянию на 31 декабря 2024</w:t>
      </w:r>
      <w:r>
        <w:rPr>
          <w:color w:val="000000" w:themeColor="text1"/>
          <w:sz w:val="24"/>
          <w:szCs w:val="24"/>
        </w:rPr>
        <w:t xml:space="preserve"> года составила 0%.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853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Сохранение данного показателя удалось обеспечить за счет: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расчета количества групп </w:t>
      </w:r>
      <w:r>
        <w:rPr>
          <w:color w:val="000000" w:themeColor="text1"/>
          <w:sz w:val="24"/>
          <w:szCs w:val="24"/>
        </w:rPr>
        <w:t xml:space="preserve">для  детей раннего дошкольного возраста в дошкольных образовательных организациях на новый учебный год для полного удовлетворения потребности населения в местах</w:t>
      </w:r>
      <w:r>
        <w:rPr>
          <w:color w:val="000000" w:themeColor="text1"/>
          <w:sz w:val="24"/>
          <w:szCs w:val="24"/>
        </w:rPr>
        <w:t xml:space="preserve"> согласно очередности;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распределения мест  и массового приема детей в  дошкольные образовательные организации на новый учебный год в период комплектования (с 15 мая по 31 августа);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приема детей в дошкольные образовательные организации в течение календарного года на свободные места.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lang w:eastAsia="en-US"/>
        </w:rPr>
        <w:t xml:space="preserve"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- 1 место</w:t>
      </w:r>
      <w:r>
        <w:rPr>
          <w:bCs/>
          <w:color w:val="auto"/>
          <w:sz w:val="24"/>
          <w:szCs w:val="24"/>
          <w:lang w:eastAsia="en-US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53"/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Белоярский район сохранил лидирующую позицию.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Зданий дошкольных образовательных учреждений, находящихся в аварийном состоянии нет, </w:t>
      </w:r>
      <w:r>
        <w:rPr>
          <w:color w:val="000000" w:themeColor="text1"/>
          <w:sz w:val="24"/>
          <w:szCs w:val="24"/>
        </w:rPr>
        <w:t xml:space="preserve">требующие</w:t>
      </w:r>
      <w:r>
        <w:rPr>
          <w:color w:val="000000" w:themeColor="text1"/>
          <w:sz w:val="24"/>
          <w:szCs w:val="24"/>
        </w:rPr>
        <w:t xml:space="preserve"> капитального ремонта - отсутствуют. Такие показатели достигнуты за счет целенаправленной работы по текущему содержанию зданий, близлежащей территории, бережному отношению к имуществу.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lang w:eastAsia="en-US"/>
        </w:rPr>
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- 1 место</w:t>
      </w:r>
      <w:r>
        <w:rPr>
          <w:bCs/>
          <w:color w:val="auto"/>
          <w:sz w:val="24"/>
          <w:szCs w:val="24"/>
          <w:lang w:eastAsia="en-US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53"/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Белоярский район сохранил лидирующую позицию.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районе отсутствуют ветхие и аварийные здания, во всех школах созданы безопасные и ком</w:t>
      </w:r>
      <w:r>
        <w:rPr>
          <w:color w:val="000000" w:themeColor="text1"/>
          <w:sz w:val="24"/>
          <w:szCs w:val="24"/>
        </w:rPr>
        <w:t xml:space="preserve">фортные условия пребывания, соответствующие современным нормативным требованиям, своевременно и комплексно осуществляется текущий ремонт учреждений образования. Этот показатель достигается за счет системной работы по текущему содержанию зданий, применению </w:t>
      </w:r>
      <w:r>
        <w:rPr>
          <w:color w:val="000000" w:themeColor="text1"/>
          <w:sz w:val="24"/>
          <w:szCs w:val="24"/>
        </w:rPr>
        <w:t xml:space="preserve">энергоэффективных</w:t>
      </w:r>
      <w:r>
        <w:rPr>
          <w:color w:val="000000" w:themeColor="text1"/>
          <w:sz w:val="24"/>
          <w:szCs w:val="24"/>
        </w:rPr>
        <w:t xml:space="preserve"> технологий (утепление фасадов зданий, установке счетчиков).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eastAsia="en-US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  <w:tab w:val="left" w:pos="1134" w:leader="none"/>
        </w:tabs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lang w:eastAsia="en-US"/>
        </w:rPr>
        <w:t xml:space="preserve"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- 1 место</w:t>
      </w:r>
      <w:r>
        <w:rPr>
          <w:bCs/>
          <w:color w:val="auto"/>
          <w:sz w:val="24"/>
          <w:szCs w:val="24"/>
          <w:lang w:eastAsia="en-US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53"/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Белоярский район сохранил лидирующую позицию.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Во всех муниципальных общеобразовательных учреждениях Белоярского района </w:t>
      </w:r>
      <w:r>
        <w:rPr>
          <w:color w:val="000000" w:themeColor="text1"/>
          <w:sz w:val="24"/>
          <w:szCs w:val="24"/>
        </w:rPr>
        <w:t xml:space="preserve">школьники обучаются в первую смену.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Проводимые мероприятия по модернизации школьной инфраструктуры в соответствии с прогнозируемой потребностью и современным требованиям обучен</w:t>
      </w:r>
      <w:r>
        <w:rPr>
          <w:color w:val="000000" w:themeColor="text1"/>
          <w:sz w:val="24"/>
          <w:szCs w:val="24"/>
        </w:rPr>
        <w:t xml:space="preserve">ия  позволили удовлетворить спрос на общеобразовательные услуги для 100% учащихся 1-11 классов. Для повышения доступности и качества общего образования всем учащимся обеспечена возможность организации всех видов учебной деятельностью в одну (первую) смену.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eastAsia="en-US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  <w:tab w:val="left" w:pos="1134" w:leader="none"/>
        </w:tabs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none"/>
          <w:lang w:eastAsia="en-US"/>
        </w:rPr>
      </w:r>
      <w:r>
        <w:rPr>
          <w:color w:val="000000" w:themeColor="text1"/>
          <w:sz w:val="24"/>
          <w:szCs w:val="24"/>
          <w:lang w:eastAsia="en-US"/>
        </w:rPr>
        <w:t xml:space="preserve">Расходы бюджета муниципального образования на общее образование в расчете на 1 обучающегося в муниципальных общеобразовательных учреждениях</w:t>
      </w:r>
      <w:r>
        <w:rPr>
          <w:color w:val="000000" w:themeColor="text1"/>
          <w:sz w:val="24"/>
          <w:szCs w:val="24"/>
          <w:lang w:eastAsia="en-US"/>
        </w:rPr>
        <w:t xml:space="preserve"> - 3 место</w:t>
      </w:r>
      <w:r>
        <w:rPr>
          <w:color w:val="000000" w:themeColor="text1"/>
          <w:sz w:val="24"/>
          <w:szCs w:val="24"/>
          <w:lang w:eastAsia="en-US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709"/>
        <w:jc w:val="both"/>
        <w:tabs>
          <w:tab w:val="left" w:pos="0" w:leader="none"/>
          <w:tab w:val="left" w:pos="142" w:leader="none"/>
          <w:tab w:val="left" w:pos="993" w:leader="none"/>
          <w:tab w:val="left" w:pos="1134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highlight w:val="none"/>
          <w:lang w:eastAsia="en-US"/>
        </w:rPr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Увеличение показателей 2024 года на 26% связано с обеспечением достижения целевых показателей средней заработной платы по отдельным категориям работников в сфере образования в рамках реализации Указа Президента РФ № 761, об</w:t>
      </w:r>
      <w:r>
        <w:rPr>
          <w:sz w:val="24"/>
          <w:szCs w:val="24"/>
        </w:rPr>
        <w:t xml:space="preserve">еспечением уровня заработной платы в связи с увеличением минимального размера оплаты труда в 2024 году, увеличением стоимости билетов (авиа, ж/д) при компенсации расходов на оплату стоимости проезда и провоза багажи к месту использования отпуска и обратно.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left="709" w:firstLine="0"/>
        <w:jc w:val="both"/>
        <w:tabs>
          <w:tab w:val="left" w:pos="0" w:leader="none"/>
          <w:tab w:val="left" w:pos="142" w:leader="none"/>
          <w:tab w:val="left" w:pos="993" w:leader="none"/>
          <w:tab w:val="left" w:pos="1134" w:leader="none"/>
        </w:tabs>
        <w:rPr>
          <w:color w:val="ff0000"/>
          <w:sz w:val="24"/>
          <w:szCs w:val="24"/>
        </w:rPr>
      </w:pPr>
      <w:r>
        <w:rPr>
          <w:sz w:val="28"/>
          <w:szCs w:val="28"/>
          <w:highlight w:val="none"/>
          <w:lang w:eastAsia="en-US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  <w:tab w:val="left" w:pos="1134" w:leader="none"/>
        </w:tabs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lang w:eastAsia="en-US"/>
        </w:rPr>
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</w:t>
      </w:r>
      <w:r>
        <w:rPr>
          <w:bCs/>
          <w:color w:val="auto"/>
          <w:sz w:val="24"/>
          <w:szCs w:val="24"/>
          <w:lang w:eastAsia="en-US"/>
        </w:rPr>
        <w:t xml:space="preserve">ниципальной собственности  -   </w:t>
      </w:r>
      <w:r>
        <w:rPr>
          <w:bCs/>
          <w:color w:val="auto"/>
          <w:sz w:val="24"/>
          <w:szCs w:val="24"/>
          <w:lang w:eastAsia="en-US"/>
        </w:rPr>
        <w:t xml:space="preserve">1 место</w:t>
      </w:r>
      <w:r>
        <w:rPr>
          <w:bCs/>
          <w:color w:val="auto"/>
          <w:sz w:val="24"/>
          <w:szCs w:val="24"/>
          <w:lang w:eastAsia="en-US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53"/>
        <w:ind w:left="0" w:firstLine="709"/>
        <w:jc w:val="both"/>
        <w:widowControl w:val="off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lang w:eastAsia="en-US"/>
        </w:rPr>
        <w:t xml:space="preserve">В 2008 - 2009 годах в здании Церкви Успения Пресвятой Богородицы в с. Полноват </w:t>
      </w:r>
      <w:r>
        <w:rPr>
          <w:bCs/>
          <w:color w:val="000000" w:themeColor="text1"/>
          <w:sz w:val="24"/>
          <w:szCs w:val="24"/>
          <w:lang w:eastAsia="en-US"/>
        </w:rPr>
        <w:t xml:space="preserve">Белоярского района, являющимся объектом культурного наследия местного (муниципального) значения, были проведены ремонтно – реставрационные работы, здание отдано под использование по прямому назначению, создана</w:t>
      </w:r>
      <w:r>
        <w:rPr>
          <w:bCs/>
          <w:color w:val="000000" w:themeColor="text1"/>
          <w:sz w:val="24"/>
          <w:szCs w:val="24"/>
          <w:lang w:eastAsia="en-US"/>
        </w:rPr>
        <w:t xml:space="preserve"> вся необходимая нормативно – правовая база для обеспечения сохранности объекта культурного наследия. В целом комплекс вышеперечисленных мероприятий позволяет содержать памятник в удовлетворительном состоянии, не требующем консервации и реставрации. В февр</w:t>
      </w:r>
      <w:r>
        <w:rPr>
          <w:bCs/>
          <w:color w:val="000000" w:themeColor="text1"/>
          <w:sz w:val="24"/>
          <w:szCs w:val="24"/>
          <w:lang w:eastAsia="en-US"/>
        </w:rPr>
        <w:t xml:space="preserve">але 2017 года Службой государственной охраны объектов культурного наследия ХМАО – Югры было проведено обследование технического состояния объекта культурного наследия «Здание Церкви Успения Пресвятой Богородицы в с. Полноват Белоярского района», по результ</w:t>
      </w:r>
      <w:r>
        <w:rPr>
          <w:bCs/>
          <w:color w:val="000000" w:themeColor="text1"/>
          <w:sz w:val="24"/>
          <w:szCs w:val="24"/>
          <w:lang w:eastAsia="en-US"/>
        </w:rPr>
        <w:t xml:space="preserve">атам которого установлено, что </w:t>
      </w:r>
      <w:r>
        <w:rPr>
          <w:bCs/>
          <w:color w:val="000000" w:themeColor="text1"/>
          <w:sz w:val="24"/>
          <w:szCs w:val="24"/>
          <w:lang w:eastAsia="en-US"/>
        </w:rPr>
        <w:t xml:space="preserve">общее состояние объекта   удовлетворитель</w:t>
      </w:r>
      <w:r>
        <w:rPr>
          <w:bCs/>
          <w:color w:val="000000" w:themeColor="text1"/>
          <w:sz w:val="24"/>
          <w:szCs w:val="24"/>
          <w:lang w:eastAsia="en-US"/>
        </w:rPr>
        <w:t xml:space="preserve">ное (акт технического состояния</w:t>
      </w:r>
      <w:r>
        <w:rPr>
          <w:bCs/>
          <w:color w:val="000000" w:themeColor="text1"/>
          <w:sz w:val="24"/>
          <w:szCs w:val="24"/>
          <w:lang w:eastAsia="en-US"/>
        </w:rPr>
        <w:t xml:space="preserve"> от 16.02.2017 г.</w:t>
      </w:r>
      <w:r>
        <w:rPr>
          <w:bCs/>
          <w:color w:val="000000" w:themeColor="text1"/>
          <w:sz w:val="24"/>
          <w:szCs w:val="24"/>
          <w:lang w:eastAsia="en-US"/>
        </w:rPr>
        <w:t xml:space="preserve"> </w:t>
      </w:r>
      <w:r>
        <w:rPr>
          <w:bCs/>
          <w:color w:val="000000" w:themeColor="text1"/>
          <w:sz w:val="24"/>
          <w:szCs w:val="24"/>
          <w:lang w:eastAsia="en-US"/>
        </w:rPr>
        <w:t xml:space="preserve">№1). </w:t>
      </w: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widowControl w:val="off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lang w:eastAsia="en-US"/>
        </w:rPr>
        <w:t xml:space="preserve">В ноябре 2022 года предст</w:t>
      </w:r>
      <w:r>
        <w:rPr>
          <w:bCs/>
          <w:color w:val="000000" w:themeColor="text1"/>
          <w:sz w:val="24"/>
          <w:szCs w:val="24"/>
          <w:lang w:eastAsia="en-US"/>
        </w:rPr>
        <w:t xml:space="preserve">авителем собственника проведено </w:t>
      </w:r>
      <w:r>
        <w:rPr>
          <w:bCs/>
          <w:color w:val="000000" w:themeColor="text1"/>
          <w:sz w:val="24"/>
          <w:szCs w:val="24"/>
          <w:lang w:eastAsia="en-US"/>
        </w:rPr>
        <w:t xml:space="preserve">очередное обследование технического состоян</w:t>
      </w:r>
      <w:r>
        <w:rPr>
          <w:bCs/>
          <w:color w:val="000000" w:themeColor="text1"/>
          <w:sz w:val="24"/>
          <w:szCs w:val="24"/>
          <w:lang w:eastAsia="en-US"/>
        </w:rPr>
        <w:t xml:space="preserve">ия объекта культурного наследия,</w:t>
      </w:r>
      <w:r>
        <w:rPr>
          <w:bCs/>
          <w:color w:val="000000" w:themeColor="text1"/>
          <w:sz w:val="24"/>
          <w:szCs w:val="24"/>
          <w:lang w:eastAsia="en-US"/>
        </w:rPr>
        <w:t xml:space="preserve"> по результ</w:t>
      </w:r>
      <w:r>
        <w:rPr>
          <w:bCs/>
          <w:color w:val="000000" w:themeColor="text1"/>
          <w:sz w:val="24"/>
          <w:szCs w:val="24"/>
          <w:lang w:eastAsia="en-US"/>
        </w:rPr>
        <w:t xml:space="preserve">атам которого установлено, что </w:t>
      </w:r>
      <w:r>
        <w:rPr>
          <w:bCs/>
          <w:color w:val="000000" w:themeColor="text1"/>
          <w:sz w:val="24"/>
          <w:szCs w:val="24"/>
          <w:lang w:eastAsia="en-US"/>
        </w:rPr>
        <w:t xml:space="preserve">общее состояние</w:t>
      </w:r>
      <w:r>
        <w:rPr>
          <w:bCs/>
          <w:color w:val="000000" w:themeColor="text1"/>
          <w:sz w:val="24"/>
          <w:szCs w:val="24"/>
          <w:lang w:eastAsia="en-US"/>
        </w:rPr>
        <w:t xml:space="preserve"> объекта   удовлетворительное (а</w:t>
      </w:r>
      <w:r>
        <w:rPr>
          <w:bCs/>
          <w:color w:val="000000" w:themeColor="text1"/>
          <w:sz w:val="24"/>
          <w:szCs w:val="24"/>
          <w:lang w:eastAsia="en-US"/>
        </w:rPr>
        <w:t xml:space="preserve">кт обследования от 21 ноября 2022 года б/н)</w:t>
      </w:r>
      <w:r>
        <w:rPr>
          <w:bCs/>
          <w:color w:val="000000" w:themeColor="text1"/>
          <w:sz w:val="24"/>
          <w:szCs w:val="24"/>
          <w:lang w:eastAsia="en-US"/>
        </w:rPr>
        <w:t xml:space="preserve">.</w:t>
      </w:r>
      <w:r>
        <w:rPr>
          <w:bCs/>
          <w:color w:val="000000" w:themeColor="text1"/>
          <w:sz w:val="24"/>
          <w:szCs w:val="24"/>
          <w:lang w:eastAsia="en-US"/>
        </w:rPr>
        <w:t xml:space="preserve"> Обследование проводится 1 раз в 5 лет.</w:t>
      </w: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widowControl w:val="off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  <w:lang w:eastAsia="en-US"/>
        </w:rPr>
      </w:r>
      <w:r>
        <w:rPr>
          <w:bCs/>
          <w:color w:val="ff0000"/>
          <w:sz w:val="24"/>
          <w:szCs w:val="24"/>
        </w:rPr>
      </w:r>
      <w:r>
        <w:rPr>
          <w:bCs/>
          <w:color w:val="ff0000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  <w:tab w:val="left" w:pos="1134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Площадь земельных участков, предоставленных для строительства, в отношении которых </w:t>
      </w:r>
      <w:r>
        <w:rPr>
          <w:color w:val="auto"/>
          <w:sz w:val="24"/>
          <w:szCs w:val="24"/>
          <w:lang w:eastAsia="en-US"/>
        </w:rPr>
        <w:t xml:space="preserve">с даты принятия</w:t>
      </w:r>
      <w:r>
        <w:rPr>
          <w:color w:val="auto"/>
          <w:sz w:val="24"/>
          <w:szCs w:val="24"/>
          <w:lang w:eastAsia="en-US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- 1 место</w:t>
      </w:r>
      <w:r>
        <w:rPr>
          <w:color w:val="auto"/>
          <w:sz w:val="24"/>
          <w:szCs w:val="24"/>
          <w:lang w:eastAsia="en-US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53"/>
        <w:ind w:left="0" w:firstLine="709"/>
        <w:jc w:val="both"/>
        <w:widowControl w:val="off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lang w:eastAsia="en-US"/>
        </w:rPr>
        <w:t xml:space="preserve">Белоярский район сохранил лидирующую позицию.</w:t>
      </w: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widowControl w:val="off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lang w:eastAsia="en-US"/>
        </w:rPr>
        <w:t xml:space="preserve">Земельные участки, предоставляемые для строительства, срок введения в эксплуатацию объектов на которых истек, на территории Белоярского района отсутствуют.</w:t>
      </w:r>
      <w:r>
        <w:rPr>
          <w:bCs/>
          <w:color w:val="000000" w:themeColor="text1"/>
          <w:sz w:val="24"/>
          <w:szCs w:val="24"/>
        </w:rPr>
      </w:r>
      <w:r>
        <w:rPr>
          <w:bCs/>
          <w:color w:val="000000" w:themeColor="text1"/>
          <w:sz w:val="24"/>
          <w:szCs w:val="24"/>
        </w:rPr>
      </w:r>
    </w:p>
    <w:p>
      <w:pPr>
        <w:pStyle w:val="853"/>
        <w:ind w:left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eastAsia="en-US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  <w:tab w:val="left" w:pos="1134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– 3 место.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53"/>
        <w:ind w:left="709"/>
        <w:jc w:val="both"/>
        <w:tabs>
          <w:tab w:val="left" w:pos="0" w:leader="none"/>
          <w:tab w:val="left" w:pos="142" w:leader="none"/>
          <w:tab w:val="left" w:pos="993" w:leader="none"/>
          <w:tab w:val="left" w:pos="1134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Белоярский район сохранил свою позицию.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</w:r>
      <w:r>
        <w:rPr>
          <w:b w:val="0"/>
          <w:color w:val="000000" w:themeColor="text1"/>
          <w:sz w:val="24"/>
          <w:szCs w:val="24"/>
        </w:rPr>
        <w:t xml:space="preserve">Всего за 2024 год в Бело</w:t>
      </w:r>
      <w:r>
        <w:rPr>
          <w:b w:val="0"/>
          <w:color w:val="000000" w:themeColor="text1"/>
          <w:sz w:val="24"/>
          <w:szCs w:val="24"/>
        </w:rPr>
        <w:t xml:space="preserve">ярском районе 181 семья улучшила жилищные условия.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eastAsia="en-US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lang w:eastAsia="en-US"/>
        </w:rPr>
        <w:t xml:space="preserve">Доля основных фондов организаций муниципальной формы собственности, находящихся в стадии банкротства, в основных фондах </w:t>
      </w:r>
      <w:r>
        <w:rPr>
          <w:bCs/>
          <w:color w:val="auto"/>
          <w:sz w:val="24"/>
          <w:szCs w:val="24"/>
          <w:lang w:eastAsia="en-US"/>
        </w:rPr>
        <w:t xml:space="preserve">организаций муниципальной формы </w:t>
      </w:r>
      <w:r>
        <w:rPr>
          <w:bCs/>
          <w:color w:val="auto"/>
          <w:sz w:val="24"/>
          <w:szCs w:val="24"/>
          <w:lang w:eastAsia="en-US"/>
        </w:rPr>
        <w:t xml:space="preserve">собственности (на конец года </w:t>
      </w:r>
      <w:r>
        <w:rPr>
          <w:bCs/>
          <w:color w:val="auto"/>
          <w:sz w:val="24"/>
          <w:szCs w:val="24"/>
          <w:lang w:eastAsia="en-US"/>
        </w:rPr>
        <w:br/>
        <w:t xml:space="preserve">по полной учетной стоимости) - 1 место</w:t>
      </w:r>
      <w:r>
        <w:rPr>
          <w:bCs/>
          <w:color w:val="auto"/>
          <w:sz w:val="24"/>
          <w:szCs w:val="24"/>
          <w:lang w:eastAsia="en-US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53"/>
        <w:ind w:left="0"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Белоярский район сохранил лидирующую позицию.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0"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Организации муниципальной формы собственности, находящиеся в стадии банкротства, отсутствуют.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eastAsia="en-US"/>
        </w:rPr>
        <w:t xml:space="preserve">Объем незавершенного в установленные сроки строительства, осуществляемого за счет средств бюджета муниципального, городского округа (муниципального района) – 1 место</w:t>
      </w:r>
      <w:r>
        <w:rPr>
          <w:color w:val="auto"/>
          <w:sz w:val="24"/>
          <w:szCs w:val="24"/>
          <w:lang w:eastAsia="en-US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53"/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Белоярский район сохранил лидирующую позицию.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На территории Белоярского района отсутствуют объекты незавершенного в установленные сроки капитального строительства.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53"/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eastAsia="en-US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lang w:eastAsia="en-US"/>
        </w:rPr>
        <w:t xml:space="preserve">Удовлетворенность населения деятельностью органов местного самоуправления - 5 место</w:t>
      </w:r>
      <w:r>
        <w:rPr>
          <w:bCs/>
          <w:color w:val="auto"/>
          <w:sz w:val="24"/>
          <w:szCs w:val="24"/>
          <w:lang w:eastAsia="en-US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53"/>
        <w:ind w:left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eastAsia="en-US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853"/>
        <w:numPr>
          <w:ilvl w:val="0"/>
          <w:numId w:val="7"/>
        </w:numPr>
        <w:ind w:left="0"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lang w:eastAsia="en-US"/>
        </w:rPr>
        <w:t xml:space="preserve">Удельная величина потребления энергетических ресурсов в многоквартирных домах» - </w:t>
      </w:r>
      <w:r>
        <w:rPr>
          <w:bCs/>
          <w:color w:val="auto"/>
          <w:sz w:val="24"/>
          <w:szCs w:val="24"/>
          <w:lang w:eastAsia="en-US"/>
        </w:rPr>
        <w:t xml:space="preserve">1</w:t>
      </w:r>
      <w:r>
        <w:rPr>
          <w:bCs/>
          <w:color w:val="auto"/>
          <w:sz w:val="24"/>
          <w:szCs w:val="24"/>
          <w:lang w:eastAsia="en-US"/>
        </w:rPr>
        <w:t xml:space="preserve"> место</w:t>
      </w:r>
      <w:r>
        <w:rPr>
          <w:bCs/>
          <w:color w:val="auto"/>
          <w:sz w:val="24"/>
          <w:szCs w:val="24"/>
          <w:lang w:eastAsia="en-US"/>
        </w:rPr>
        <w:t xml:space="preserve">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Белоярский район сохранил лидирующую позицию.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Приборами учета тепла, холодной и горячей воды, газа оснащены 100% многоквартирных домов, имеющих техническую возможность, что повлияло на снижение удельных величин потребления энергоресурсов.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eastAsia="en-US"/>
        </w:rPr>
        <w:t xml:space="preserve">Кроме того, снижение удельных величин потребления энергетических ресурсов  объясняется оснащением домов приборами учета, сносом непригодного жилья и ликвидацией ветхих сетей, увеличением доли многоквартирных домов, в которых проведен капитальный ремонт.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firstLine="709"/>
        <w:jc w:val="both"/>
        <w:tabs>
          <w:tab w:val="left" w:pos="0" w:leader="none"/>
          <w:tab w:val="left" w:pos="142" w:leader="none"/>
          <w:tab w:val="left" w:pos="993" w:leader="none"/>
        </w:tabs>
        <w:rPr>
          <w:color w:val="ff0000"/>
          <w:sz w:val="24"/>
          <w:szCs w:val="24"/>
        </w:rPr>
      </w:pPr>
      <w:r>
        <w:rPr>
          <w:color w:val="ff0000"/>
          <w:sz w:val="24"/>
          <w:szCs w:val="24"/>
          <w:lang w:eastAsia="en-US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S Mincho">
    <w:panose1 w:val="0202050305040509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3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8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8"/>
    <w:link w:val="672"/>
    <w:uiPriority w:val="9"/>
    <w:rPr>
      <w:rFonts w:ascii="Arial" w:hAnsi="Arial" w:eastAsia="Arial" w:cs="Arial"/>
      <w:sz w:val="34"/>
    </w:rPr>
  </w:style>
  <w:style w:type="character" w:styleId="674">
    <w:name w:val="Heading 3 Char"/>
    <w:basedOn w:val="848"/>
    <w:link w:val="847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6"/>
    <w:next w:val="846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8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6"/>
    <w:next w:val="846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8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6"/>
    <w:next w:val="846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8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8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6"/>
    <w:next w:val="846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8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6"/>
    <w:next w:val="846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8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8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8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8"/>
    <w:link w:val="696"/>
    <w:uiPriority w:val="99"/>
  </w:style>
  <w:style w:type="paragraph" w:styleId="698">
    <w:name w:val="Footer"/>
    <w:basedOn w:val="846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8"/>
    <w:link w:val="698"/>
    <w:uiPriority w:val="99"/>
  </w:style>
  <w:style w:type="paragraph" w:styleId="700">
    <w:name w:val="Caption"/>
    <w:basedOn w:val="846"/>
    <w:next w:val="846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848"/>
    <w:link w:val="700"/>
    <w:uiPriority w:val="35"/>
    <w:rPr>
      <w:b/>
      <w:bCs/>
      <w:color w:val="4f81bd" w:themeColor="accent1"/>
      <w:sz w:val="18"/>
      <w:szCs w:val="18"/>
    </w:rPr>
  </w:style>
  <w:style w:type="table" w:styleId="702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8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8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7">
    <w:name w:val="Heading 3"/>
    <w:basedOn w:val="846"/>
    <w:next w:val="846"/>
    <w:link w:val="854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48" w:default="1">
    <w:name w:val="Default Paragraph Font"/>
    <w:uiPriority w:val="1"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Balloon Text"/>
    <w:basedOn w:val="846"/>
    <w:link w:val="8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2" w:customStyle="1">
    <w:name w:val="Текст выноски Знак"/>
    <w:basedOn w:val="848"/>
    <w:link w:val="85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53">
    <w:name w:val="List Paragraph"/>
    <w:basedOn w:val="846"/>
    <w:uiPriority w:val="34"/>
    <w:qFormat/>
    <w:pPr>
      <w:contextualSpacing/>
      <w:ind w:left="720"/>
    </w:pPr>
  </w:style>
  <w:style w:type="character" w:styleId="854" w:customStyle="1">
    <w:name w:val="Заголовок 3 Знак"/>
    <w:basedOn w:val="848"/>
    <w:link w:val="847"/>
    <w:rPr>
      <w:rFonts w:asciiTheme="majorHAnsi" w:hAnsiTheme="majorHAnsi" w:eastAsiaTheme="majorEastAsia" w:cstheme="majorBidi"/>
      <w:b/>
      <w:bCs/>
      <w:color w:val="5b9bd5" w:themeColor="accent1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8C35-BF0E-4BE2-8E2F-56460B1B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ZamNachUprEcon</cp:lastModifiedBy>
  <cp:revision>175</cp:revision>
  <dcterms:created xsi:type="dcterms:W3CDTF">2017-08-22T05:13:00Z</dcterms:created>
  <dcterms:modified xsi:type="dcterms:W3CDTF">2025-09-12T04:12:02Z</dcterms:modified>
</cp:coreProperties>
</file>