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tabs>
          <w:tab w:val="center" w:pos="4537" w:leader="none"/>
          <w:tab w:val="left" w:pos="7740" w:leader="none"/>
        </w:tabs>
        <w:rPr>
          <w:highlight w:val="none"/>
        </w:rPr>
      </w:pPr>
      <w:r>
        <w:t xml:space="preserve">                                                                     </w:t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8113" cy="886054"/>
                <wp:effectExtent l="6350" t="6350" r="6350" b="635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332427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78111" cy="8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.39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  <w:r>
        <w:t xml:space="preserve">    </w:t>
      </w:r>
      <w:r/>
      <w:r>
        <w:t xml:space="preserve">      </w:t>
      </w:r>
      <w:r/>
      <w: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3"/>
        <w:jc w:val="center"/>
        <w:rPr>
          <w:sz w:val="20"/>
        </w:rPr>
      </w:pPr>
      <w:r>
        <w:rPr>
          <w:sz w:val="20"/>
        </w:rPr>
        <w:t xml:space="preserve">ХАНТЫ-МАНСИЙСКИЙ АВТОНОМНЫЙ ОКРУГ - ЮГРА</w:t>
      </w:r>
      <w:r>
        <w:rPr>
          <w:sz w:val="20"/>
        </w:rPr>
      </w:r>
      <w:r>
        <w:rPr>
          <w:sz w:val="20"/>
        </w:rPr>
      </w:r>
    </w:p>
    <w:p>
      <w:pPr>
        <w:pStyle w:val="842"/>
        <w:jc w:val="center"/>
        <w:rPr>
          <w:sz w:val="22"/>
          <w:szCs w:val="22"/>
        </w:rPr>
      </w:pPr>
      <w:r>
        <w:rPr>
          <w:sz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2"/>
        <w:jc w:val="center"/>
        <w:rPr>
          <w:sz w:val="22"/>
          <w:szCs w:val="22"/>
        </w:rPr>
      </w:pPr>
      <w:r>
        <w:rPr>
          <w:sz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ДУМА БЕЛОЯРСКОГО</w:t>
      </w:r>
      <w:r>
        <w:rPr>
          <w:b/>
          <w:sz w:val="28"/>
        </w:rPr>
        <w:t xml:space="preserve"> </w:t>
      </w:r>
      <w:r>
        <w:rPr>
          <w:b/>
          <w:sz w:val="32"/>
          <w:szCs w:val="32"/>
        </w:rPr>
        <w:t xml:space="preserve">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jc w:val="right"/>
        <w:rPr>
          <w:b/>
        </w:rPr>
      </w:pPr>
      <w:r>
        <w:rPr>
          <w:b/>
        </w:rPr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41"/>
        <w:ind w:firstLine="720"/>
        <w:jc w:val="center"/>
        <w:rPr>
          <w:sz w:val="28"/>
        </w:rPr>
      </w:pPr>
      <w:r>
        <w:rPr>
          <w:sz w:val="28"/>
        </w:rPr>
        <w:t xml:space="preserve">РЕШЕНИЕ</w:t>
      </w:r>
      <w:r>
        <w:rPr>
          <w:sz w:val="28"/>
        </w:rPr>
      </w:r>
      <w:r>
        <w:rPr>
          <w:sz w:val="28"/>
        </w:rPr>
      </w:r>
    </w:p>
    <w:p>
      <w:pPr>
        <w:pStyle w:val="840"/>
        <w:jc w:val="center"/>
      </w:pPr>
      <w:r>
        <w:t xml:space="preserve">  </w:t>
      </w:r>
      <w:r/>
    </w:p>
    <w:p>
      <w:pPr>
        <w:pStyle w:val="840"/>
        <w:jc w:val="center"/>
      </w:pPr>
      <w:r/>
      <w:r/>
    </w:p>
    <w:p>
      <w:pPr>
        <w:pStyle w:val="840"/>
        <w:jc w:val="center"/>
        <w:rPr>
          <w:b/>
          <w:sz w:val="24"/>
        </w:rPr>
      </w:pPr>
      <w:r>
        <w:rPr>
          <w:sz w:val="24"/>
        </w:rPr>
        <w:t xml:space="preserve">от 27 ноября 2025 года</w:t>
      </w:r>
      <w:r>
        <w:tab/>
        <w:tab/>
        <w:tab/>
        <w:tab/>
        <w:tab/>
      </w:r>
      <w:r>
        <w:rPr>
          <w:sz w:val="24"/>
        </w:rPr>
        <w:t xml:space="preserve">                                   </w:t>
      </w:r>
      <w:r>
        <w:rPr>
          <w:sz w:val="24"/>
        </w:rPr>
        <w:t xml:space="preserve">             </w:t>
      </w:r>
      <w:r>
        <w:rPr>
          <w:sz w:val="24"/>
        </w:rPr>
        <w:t xml:space="preserve">  </w:t>
      </w:r>
      <w:r>
        <w:rPr>
          <w:sz w:val="24"/>
        </w:rPr>
        <w:t xml:space="preserve">    </w:t>
      </w:r>
      <w:r>
        <w:rPr>
          <w:sz w:val="24"/>
        </w:rPr>
        <w:t xml:space="preserve"> № </w:t>
      </w:r>
      <w:r>
        <w:rPr>
          <w:sz w:val="24"/>
        </w:rPr>
        <w:t xml:space="preserve">82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1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собрания граждан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Белоярском районе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left="0" w:right="0" w:firstLine="720"/>
        <w:jc w:val="center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right="0" w:firstLine="720"/>
        <w:jc w:val="both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48 Федерального закона от 20 марта 2025 года № 33-ФЗ                    «Об общих принципах организации местного самоуправления в единой системе публичной власти», статьей 12 устава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р е ш и л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right="0"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назначения и проведения собрания граждан в</w:t>
      </w:r>
      <w:r>
        <w:rPr>
          <w:rFonts w:ascii="Times New Roman" w:hAnsi="Times New Roman" w:cs="Times New Roman"/>
          <w:sz w:val="24"/>
          <w:szCs w:val="24"/>
        </w:rPr>
        <w:t xml:space="preserve"> Белоярском районе (далее – Порядок)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ind w:left="0" w:right="0" w:firstLine="72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 Признать утратившими силу: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numPr>
          <w:ilvl w:val="0"/>
          <w:numId w:val="1"/>
        </w:numPr>
        <w:ind w:left="0" w:right="0" w:firstLine="720"/>
        <w:jc w:val="both"/>
        <w:widowControl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16 мая 2006 года № 36 «Об утверждении Положения о порядке назначения и проведения собраний, конференций граждан в Белоярском районе»;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ind w:left="0" w:right="0" w:firstLine="720"/>
        <w:jc w:val="both"/>
        <w:widowControl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18 августа 2009 года № 110 «О внесении изменений в решения Думы Белоярского района от 16 мая 2006 года № 36, от 16 мая 2006 года № 37, от 10 октября 2006 года № 73»;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ind w:left="0" w:right="0" w:firstLine="720"/>
        <w:jc w:val="both"/>
        <w:widowControl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21 мая 2010 года № 58 «О внесении изменений в Положение о порядке назначения и проведения собраний, конференций граждан в Белоярском районе»;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ind w:left="0" w:right="0" w:firstLine="720"/>
        <w:jc w:val="both"/>
        <w:widowControl/>
        <w:tabs>
          <w:tab w:val="left" w:pos="1134" w:leader="none"/>
          <w:tab w:val="left" w:pos="1417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решение Думы Белоярского района от 10 февраля 2021 года № 6 «О внесении изменений в приложение к решению Думы Белоярского района от 16 мая 2006 года № 36».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right="0" w:firstLine="708"/>
        <w:jc w:val="both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ановить, что на основании части 1 статьи  91 Федерального закона от 20 марта 2025 года № 33-ФЗ «Об общих принципах организации местного самоуправления в единой системе публичной власти» до 1 января 2027 года собрания граждан проводятся в соответствии с Пор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ядком для обсуждения вопросов местного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right="0" w:firstLine="720"/>
        <w:jc w:val="both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left="0" w:right="0" w:firstLine="720"/>
        <w:jc w:val="both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                                                              А.Г.Берестов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Глава Белоярского района                                                                                        С.П.Маненков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8"/>
        <w:ind w:right="0"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УТВЕРЖДЕН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shd w:val="nil" w:color="0000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Думы Белоярского района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50"/>
        <w:ind w:left="3312" w:right="0"/>
        <w:jc w:val="right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 27 ноября 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82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right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О Р Я Д О К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right="0"/>
        <w:jc w:val="center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назначения и проведения собрания граждан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Белоярском районе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50"/>
        <w:ind w:right="0"/>
        <w:jc w:val="center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50"/>
        <w:numPr>
          <w:ilvl w:val="0"/>
          <w:numId w:val="3"/>
        </w:numPr>
        <w:ind w:right="0"/>
        <w:jc w:val="center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Общие положения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numPr>
          <w:ilvl w:val="1"/>
          <w:numId w:val="4"/>
        </w:numPr>
        <w:ind w:left="0" w:righ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Настоящий Порядок назначения и проведения собрания граждан в Белоярском районе (далее – Порядок) разработан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статьей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 Федерального закона от 20 марта 2025 года № 33-ФЗ «Об общих принципах организации местного самоуправления в единой системе публичной власти», статьей 12 устава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Белоярского района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порядок назначения и проведения собрания граждан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Белоярском районе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обсуждения вопросов непосредственного обеспечения жизнедеятельности населения; для информирования населения о деятельности органов местного самоуправления и должностных лиц местного самоуправления; на территории района или на части 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территории по вопросу выявления мнения граждан о поддержке инициативного проекта.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numPr>
          <w:ilvl w:val="1"/>
          <w:numId w:val="4"/>
        </w:numPr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Действие настоящего Порядка не распространяется на порядок назначения и проведения собрания граждан в целях осуществления территориального общественного самоуправления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В собрании гра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ждан, проводимом на территории района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1.4.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Участие населения в собраниях граждан является свободным и добровольным. Никто не вправе оказывать принудительное воздействие на граждан в целях участия или неучастия в собрании граждан, а также на их свободное волеизъявление.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Собрание граждан является формой участия населения в осуществлении местного самоуправления.</w:t>
      </w:r>
      <w:r/>
    </w:p>
    <w:p>
      <w:pPr>
        <w:pStyle w:val="849"/>
        <w:ind w:right="0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right="0" w:firstLine="540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2. Назначение собрания граждан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8"/>
        <w:ind w:right="0" w:firstLine="540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8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Собрания граждан, проводимые по инициативе населения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района,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назначаются решением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Собрания граждан, проводимые по инициативе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назначаются постановлением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2.2.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Инициатива Думы района может быть выдвинута группой депутатов или постоянной комиссией Думы района. Инициатива депутатов Думы района оформляется в письменной форме с указанием вопросов, которые предполагается расс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мотреть на собрании граждан, и подлежит рассмотрению на очередном заседании Думы района.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Инициатива населения о провед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ении собрания граждан оформляется  посредством направления обращения инициативной группы граждан из числа жителей района в количестве не менее 10 человек в Думу района.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бращение о назначении собрания граждан должно содержать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вопросы, выносимые на собрание граждан;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обоснование необходимости их рассмотрения на собрании граждан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К обращению должна быть приложена копия протокола собрания инициативной группы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 о назначении собрания граждан, подписанное уполномоченным представителем  инициативной группы, направляется в  Думу района, которая обязана на очередном заседании назначить собрание граждан либо мот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ивировано отказать в его назначении.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вопроса, выносимого на собрание граждан, не должно противоречить федеральному законодательству, законодательству Ханты-Мансийского автономного округа - Югры и муниципальным правовым актам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Основанием для отказа в назначении проведения собрания граждан является нарушение порядка обращения с инициативой о проведении собрания граждан, установленного настоящим Порядком.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Решение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умы района, постановление главы района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назначении собрания граждан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подлежат официальному опубликованию в газете «Белоярские вести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Официальный выпуск», размещению на официальном сайте органов местного самоуправления района в сети «Интернет». Население также может оповещаться о проведении собрания граждан с помощью размещения информации на информационных стендах и  досках объявлений.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В решении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района,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постановлении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собрания граждан указываются: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дата проведения собрания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 инициативе населения - не позднее одного месяца со дня принятия решения о назначении собрания граждан)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время, место проведения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территория, жители которой имеют прав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участвовать в собрании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инициаторы созыва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предварительная повестка дня;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порядок ознакомления с материалами, обсуждение которых предполагается на собрании граждан.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Подготовку и проведение собраний граждан, назначаемых по инициативе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района,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осуществляет отраслевой (функциональный) орган администрации района, определяемый главой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8"/>
        <w:ind w:left="0" w:right="0" w:firstLine="709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Проведение собрания граждан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9"/>
        <w:ind w:right="0"/>
        <w:jc w:val="both"/>
        <w:widowControl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849"/>
        <w:ind w:right="0" w:firstLine="708"/>
        <w:jc w:val="both"/>
        <w:widowControl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Перед началом собрания граждан отраслевым (функциональным) органом администрации района, определенным главой района, производится регистрация участников собрания граждан посредством заполнения регистрационного листа участников собрания граждан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/>
    </w:p>
    <w:p>
      <w:pPr>
        <w:pStyle w:val="849"/>
        <w:ind w:right="0" w:firstLine="708"/>
        <w:jc w:val="both"/>
        <w:widowControl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Собрание граждан открывается представителем уполномоченного главой района отраслевого (функционального) органа администрации района.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ведения собрания граждан избираются председатель и секретарь.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Утверждается повестка дня и регламент работы собрания граждан.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849"/>
        <w:ind w:right="0" w:firstLine="708"/>
        <w:jc w:val="both"/>
        <w:widowControl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Решение соб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рания граждан принимается открытым голосованием простым большинством голосов от присутствующих участников собрания граждан. При голосовании по каждому вопросу участник собрания имеет один голос и подает его за принятие решения или против него либо воздержи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вается от принятия решения. Свое право на голосование каждый участник собрания осуществляет лично.</w:t>
      </w:r>
      <w:r/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объявления председателем о начале голосования никто не вправе прервать голосование. По окончании подсчета голосов председатель объявляет, какое решение принято.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На собрании ведется протокол, в котором указываются: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дата и место проведения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инициатор созыва собрания граждан;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присутствующих;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повестка дня;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краткое содержание выступлений;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результаты голосования и принятые решения.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подписывается председателем и секретарем собрания граждан. К протоколу прилагается регистрационный лист участников собрания граждан.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4. Заключительные положения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4.1.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Собрание граждан может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принимать обращения к органам местного самоуправления района и должностным лицам местного самоуправления района, а также избирать лиц, уполномоченных представлять собрание граждан во взаимоотношениях с органами местного самоуправления района и должностным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и лицами местного самоуправления района.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4.2. Обращения, прин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ятые собранием граждан, подлежат обязательному рассмотрению органами местного самоуправления района и должностными лицами местного самоуправления района, к компетенции которых отнесено решение содержащихся в обращениях вопросов, с направлением письменного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ответа.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49"/>
        <w:ind w:right="0" w:firstLine="708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4.3. Итоги собрания граждан подлежат официальному обнародованию путем опубликования в газете «Белоярские вести. Официальный выпуск» не позднее 10 дней со дня проведения собрания граждан.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856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Расходы, связанные с подготовкой и проведением собрани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граждан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осуществляются за счет средств бюджета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both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center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9"/>
        <w:ind w:right="0"/>
        <w:jc w:val="center"/>
        <w:widowControl/>
      </w:pPr>
      <w:r/>
      <w:r/>
    </w:p>
    <w:sectPr>
      <w:footnotePr/>
      <w:endnotePr/>
      <w:type w:val="nextPage"/>
      <w:pgSz w:w="11909" w:h="16834" w:orient="portrait"/>
      <w:pgMar w:top="1134" w:right="850" w:bottom="960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pPr>
      <w:jc w:val="center"/>
      <w:keepNext/>
      <w:spacing w:line="360" w:lineRule="auto"/>
      <w:outlineLvl w:val="0"/>
    </w:pPr>
    <w:rPr>
      <w:b/>
      <w:sz w:val="24"/>
    </w:rPr>
  </w:style>
  <w:style w:type="paragraph" w:styleId="842">
    <w:name w:val="Заголовок 2"/>
    <w:basedOn w:val="840"/>
    <w:next w:val="840"/>
    <w:link w:val="840"/>
    <w:pPr>
      <w:ind w:firstLine="708"/>
      <w:jc w:val="both"/>
      <w:keepNext/>
      <w:outlineLvl w:val="1"/>
    </w:pPr>
    <w:rPr>
      <w:b/>
      <w:sz w:val="24"/>
    </w:rPr>
  </w:style>
  <w:style w:type="paragraph" w:styleId="843">
    <w:name w:val="Заголовок 3"/>
    <w:basedOn w:val="840"/>
    <w:next w:val="840"/>
    <w:link w:val="840"/>
    <w:pPr>
      <w:keepNext/>
      <w:outlineLvl w:val="2"/>
    </w:pPr>
    <w:rPr>
      <w:b/>
      <w:sz w:val="24"/>
    </w:rPr>
  </w:style>
  <w:style w:type="paragraph" w:styleId="844">
    <w:name w:val="Заголовок 5"/>
    <w:basedOn w:val="840"/>
    <w:next w:val="840"/>
    <w:link w:val="840"/>
    <w:pPr>
      <w:keepNext/>
      <w:outlineLvl w:val="4"/>
    </w:pPr>
    <w:rPr>
      <w:sz w:val="24"/>
    </w:rPr>
  </w:style>
  <w:style w:type="character" w:styleId="845">
    <w:name w:val="Основной шрифт абзаца"/>
    <w:next w:val="845"/>
    <w:link w:val="840"/>
    <w:semiHidden/>
  </w:style>
  <w:style w:type="table" w:styleId="846">
    <w:name w:val="Обычная таблица"/>
    <w:next w:val="846"/>
    <w:link w:val="840"/>
    <w:semiHidden/>
    <w:tblPr/>
  </w:style>
  <w:style w:type="numbering" w:styleId="847">
    <w:name w:val="Нет списка"/>
    <w:next w:val="847"/>
    <w:link w:val="840"/>
    <w:semiHidden/>
  </w:style>
  <w:style w:type="paragraph" w:styleId="848">
    <w:name w:val="ConsNormal"/>
    <w:next w:val="848"/>
    <w:link w:val="8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49">
    <w:name w:val="ConsNonformat"/>
    <w:next w:val="849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0">
    <w:name w:val="ConsTitle"/>
    <w:next w:val="850"/>
    <w:link w:val="840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1">
    <w:name w:val="ConsCell"/>
    <w:next w:val="851"/>
    <w:link w:val="840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  <w:style w:type="paragraph" w:styleId="855" w:customStyle="1">
    <w:name w:val=".HEADER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56" w:customStyle="1">
    <w:name w:val=".FORMAT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GorelikovaAU</cp:lastModifiedBy>
  <cp:revision>32</cp:revision>
  <dcterms:created xsi:type="dcterms:W3CDTF">2006-05-11T02:02:00Z</dcterms:created>
  <dcterms:modified xsi:type="dcterms:W3CDTF">2025-11-27T11:31:35Z</dcterms:modified>
  <cp:version>661986</cp:version>
</cp:coreProperties>
</file>