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8"/>
        <w:jc w:val="right"/>
      </w:pPr>
      <w:r/>
      <w:r/>
    </w:p>
    <w:p>
      <w:pPr>
        <w:pStyle w:val="859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9"/>
      </w:pPr>
      <w:r>
        <w:t xml:space="preserve">ПОСТАНОВЛЕНИЕ</w:t>
      </w:r>
      <w:r/>
    </w:p>
    <w:p>
      <w:pPr>
        <w:pStyle w:val="858"/>
      </w:pPr>
      <w:r/>
      <w:r/>
    </w:p>
    <w:p>
      <w:pPr>
        <w:pStyle w:val="858"/>
      </w:pPr>
      <w:r/>
      <w:r/>
    </w:p>
    <w:p>
      <w:pPr>
        <w:pStyle w:val="858"/>
      </w:pPr>
      <w:r>
        <w:t xml:space="preserve">от</w:t>
      </w:r>
      <w:r>
        <w:t xml:space="preserve"> </w:t>
      </w:r>
      <w:r>
        <w:t xml:space="preserve">6 декабря</w:t>
      </w:r>
      <w:r>
        <w:t xml:space="preserve"> 20</w:t>
      </w:r>
      <w:r>
        <w:t xml:space="preserve">23</w:t>
      </w:r>
      <w:r>
        <w:t xml:space="preserve"> года</w:t>
        <w:tab/>
        <w:tab/>
        <w:tab/>
      </w:r>
      <w:r>
        <w:tab/>
        <w:t xml:space="preserve">        </w:t>
      </w:r>
      <w:r>
        <w:t xml:space="preserve">  </w:t>
      </w:r>
      <w:r>
        <w:t xml:space="preserve">            </w:t>
      </w:r>
      <w:r>
        <w:t xml:space="preserve">                        </w:t>
      </w:r>
      <w:r>
        <w:t xml:space="preserve">          </w:t>
      </w:r>
      <w:r>
        <w:t xml:space="preserve"> </w:t>
      </w:r>
      <w:r>
        <w:t xml:space="preserve">  № </w:t>
      </w:r>
      <w:r>
        <w:t xml:space="preserve">745</w:t>
      </w:r>
      <w:r/>
    </w:p>
    <w:p>
      <w:pPr>
        <w:pStyle w:val="858"/>
      </w:pPr>
      <w:r/>
      <w:r/>
    </w:p>
    <w:p>
      <w:pPr>
        <w:pStyle w:val="858"/>
      </w:pPr>
      <w:r/>
      <w:r/>
    </w:p>
    <w:p>
      <w:pPr>
        <w:pStyle w:val="858"/>
      </w:pPr>
      <w:r/>
      <w:r/>
    </w:p>
    <w:p>
      <w:pPr>
        <w:pStyle w:val="858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внесении изменений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</w:t>
      </w:r>
      <w:r>
        <w:rPr>
          <w:b/>
        </w:rPr>
        <w:t xml:space="preserve">администрации</w:t>
      </w:r>
      <w:r>
        <w:rPr>
          <w:b/>
        </w:rPr>
      </w:r>
      <w:r>
        <w:rPr>
          <w:b/>
        </w:rPr>
      </w:r>
    </w:p>
    <w:p>
      <w:pPr>
        <w:pStyle w:val="858"/>
        <w:jc w:val="center"/>
      </w:pPr>
      <w:r>
        <w:rPr>
          <w:b/>
        </w:rPr>
        <w:t xml:space="preserve">Белоярского района</w:t>
      </w:r>
      <w:r>
        <w:rPr>
          <w:b/>
        </w:rPr>
        <w:t xml:space="preserve"> </w:t>
      </w:r>
      <w:r>
        <w:rPr>
          <w:b/>
        </w:rPr>
        <w:t xml:space="preserve">от </w:t>
      </w:r>
      <w:r>
        <w:rPr>
          <w:b/>
        </w:rPr>
        <w:t xml:space="preserve">19 марта 2020 года № 243</w:t>
      </w:r>
      <w:r/>
    </w:p>
    <w:p>
      <w:pPr>
        <w:pStyle w:val="858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both"/>
        <w:rPr>
          <w:szCs w:val="20"/>
        </w:rPr>
      </w:pPr>
      <w:r>
        <w:rPr>
          <w:szCs w:val="20"/>
        </w:rPr>
        <w:t xml:space="preserve">П</w:t>
      </w:r>
      <w:r>
        <w:rPr>
          <w:szCs w:val="20"/>
        </w:rPr>
        <w:t xml:space="preserve">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858"/>
        <w:ind w:firstLine="720"/>
        <w:jc w:val="both"/>
        <w:spacing w:line="240" w:lineRule="atLeast"/>
      </w:pPr>
      <w:r>
        <w:t xml:space="preserve">1. Внести в приложение «</w:t>
      </w:r>
      <w:r>
        <w:t xml:space="preserve">Лесохозяйственный регламент лесничества «Городские леса городского поселения Белоярский» </w:t>
      </w:r>
      <w:r>
        <w:t xml:space="preserve">к постановлению адми</w:t>
      </w:r>
      <w:r>
        <w:t xml:space="preserve">нистрации Белоярского района от</w:t>
      </w:r>
      <w:r>
        <w:t xml:space="preserve"> </w:t>
      </w:r>
      <w:r>
        <w:t xml:space="preserve">19 марта 2020 года № 243</w:t>
      </w:r>
      <w:r>
        <w:t xml:space="preserve"> «</w:t>
      </w:r>
      <w:r>
        <w:t xml:space="preserve">Об утверждении лесохозяйственного регламента лесничества «Городские леса городского поселения Белоярский» (далее – </w:t>
      </w:r>
      <w:r>
        <w:t xml:space="preserve">л</w:t>
      </w:r>
      <w:r>
        <w:t xml:space="preserve">есохозяйственный регламент)</w:t>
      </w:r>
      <w:r>
        <w:t xml:space="preserve"> </w:t>
      </w:r>
      <w:r>
        <w:t xml:space="preserve">следующие изменения: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1) абзац четырнадцатый раздела 2 «Виды разрешенного использования лесов на территории лесничества с распределением по кварталам» </w:t>
      </w:r>
      <w:r>
        <w:t xml:space="preserve">главы 1 «</w:t>
      </w:r>
      <w:r>
        <w:t xml:space="preserve">Общие сведения</w:t>
      </w:r>
      <w:r>
        <w:t xml:space="preserve">»</w:t>
      </w:r>
      <w:r>
        <w:t xml:space="preserve"> </w:t>
      </w:r>
      <w:r>
        <w:t xml:space="preserve">л</w:t>
      </w:r>
      <w:r>
        <w:t xml:space="preserve">есохозяйственн</w:t>
      </w:r>
      <w:r>
        <w:t xml:space="preserve">ого</w:t>
      </w:r>
      <w:r>
        <w:t xml:space="preserve"> регламент</w:t>
      </w:r>
      <w:r>
        <w:t xml:space="preserve">а </w:t>
      </w:r>
      <w:r>
        <w:t xml:space="preserve">изложить в следующей редакции: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«5) </w:t>
      </w:r>
      <w:r>
        <w:t xml:space="preserve">строительство объектов капитального строительства, за исключением 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</w:t>
      </w:r>
      <w:r>
        <w:t xml:space="preserve">, и гидротехнических сооружений</w:t>
      </w:r>
      <w:r>
        <w:t xml:space="preserve">.»</w:t>
      </w:r>
      <w:r>
        <w:t xml:space="preserve">;</w:t>
      </w:r>
      <w:r/>
    </w:p>
    <w:p>
      <w:pPr>
        <w:pStyle w:val="858"/>
        <w:ind w:firstLine="720"/>
        <w:jc w:val="both"/>
      </w:pPr>
      <w:r>
        <w:t xml:space="preserve">2) </w:t>
      </w:r>
      <w:r>
        <w:t xml:space="preserve">раздел </w:t>
      </w:r>
      <w:r>
        <w:t xml:space="preserve">8</w:t>
      </w:r>
      <w:r>
        <w:t xml:space="preserve"> «</w:t>
      </w:r>
      <w:r>
        <w:t xml:space="preserve">Нормативы, параметры и сроки использования лесов для осуществления рекреационной деятельности</w:t>
      </w:r>
      <w:r>
        <w:t xml:space="preserve">»</w:t>
      </w:r>
      <w:r>
        <w:t xml:space="preserve"> </w:t>
      </w:r>
      <w:r>
        <w:t xml:space="preserve">глав</w:t>
      </w:r>
      <w:r>
        <w:t xml:space="preserve">ы</w:t>
      </w:r>
      <w:r>
        <w:t xml:space="preserve"> 2 </w:t>
      </w:r>
      <w:r>
        <w:t xml:space="preserve">«</w:t>
      </w:r>
      <w:r>
        <w:t xml:space="preserve">Нормативы, параметры и сроки использования лесов, требования по охране, защите и воспроизводству лесов</w:t>
      </w:r>
      <w:r>
        <w:t xml:space="preserve">»</w:t>
      </w:r>
      <w:r>
        <w:t xml:space="preserve"> лесохозяйственного регламента</w:t>
      </w:r>
      <w:r>
        <w:t xml:space="preserve"> изложить в следующей редакции</w:t>
      </w:r>
      <w:r>
        <w:t xml:space="preserve">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«8. «НОРМАТИВЫ, ПАРАМЕТРЫ И СРОКИ ИСПОЛЬЗОВАНИЯ ЛЕСОВ ДЛЯ ОСУЩЕСТВЛЕНИЯ РЕКРЕАЦИОННОЙ ДЕЯТЕЛЬНОСТИ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Согласно статье 41 Лесного кодекса использова</w:t>
      </w:r>
      <w:r>
        <w:t xml:space="preserve">ние лесов</w:t>
      </w:r>
      <w:r>
        <w:t xml:space="preserve"> для осуществления рекреационной деятельности, связанн</w:t>
      </w:r>
      <w:r>
        <w:t xml:space="preserve">ой</w:t>
      </w:r>
      <w:r>
        <w:t xml:space="preserve"> с </w:t>
      </w:r>
      <w:r>
        <w:t xml:space="preserve">выполнением работ и </w:t>
      </w:r>
      <w:r>
        <w:t xml:space="preserve">оказанием услуг в сфере туризма, физической культуры и спорта, организации отдых</w:t>
      </w:r>
      <w:r>
        <w:t xml:space="preserve">а и укрепления здоровья граждан, осуществляется с предоставлением лесных участков.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На части площади, не превышающей 20 процентов площади предоставленного для осуществления рекреационной деятельности лесного участка, общей площадью не превышающей одного гектара и не занятой лесными насаждениями, </w:t>
      </w:r>
      <w:r>
        <w:t xml:space="preserve">допускаются строительство, реконструкция и эксплуатация объектов капитального строительства для оказания услуг в сфере туризма, физической культуры и спорта, организации отдыха и укрепления здоровья граждан, а также возведение, эксплуатация и демонтаж для </w:t>
      </w:r>
      <w:r>
        <w:t xml:space="preserve">указанных целей некапитальных строений, сооружений, предусмотренных перечнем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Ограничения по площади, установленные </w:t>
      </w:r>
      <w:r>
        <w:t xml:space="preserve">абзацем вторым</w:t>
      </w:r>
      <w:r>
        <w:t xml:space="preserve"> настояще</w:t>
      </w:r>
      <w:r>
        <w:t xml:space="preserve">го</w:t>
      </w:r>
      <w:r>
        <w:t xml:space="preserve"> </w:t>
      </w:r>
      <w:r>
        <w:t xml:space="preserve">раздела</w:t>
      </w:r>
      <w:r>
        <w:t xml:space="preserve">, не распространяются на велосипедные, велопешеходные, пешеходные и беговые дорожки, тропы, лыжные и роллерные трассы, а также элементы благоустройства лесного участка, включая беседки, навесы, лавочки, туалеты, объекты освещения, урны.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При осуществлении в лесах деятельности, предусмотренной абзацем вторым</w:t>
      </w:r>
      <w:r>
        <w:t xml:space="preserve"> настояще</w:t>
      </w:r>
      <w:r>
        <w:t xml:space="preserve">го</w:t>
      </w:r>
      <w:r>
        <w:t xml:space="preserve"> </w:t>
      </w:r>
      <w:r>
        <w:t xml:space="preserve">раздела, и размещении предусмотренных </w:t>
      </w:r>
      <w:r>
        <w:t xml:space="preserve">абзацем третьим</w:t>
      </w:r>
      <w:r>
        <w:t xml:space="preserve"> настояще</w:t>
      </w:r>
      <w:r>
        <w:t xml:space="preserve">го</w:t>
      </w:r>
      <w:r>
        <w:t xml:space="preserve"> </w:t>
      </w:r>
      <w:r>
        <w:t xml:space="preserve">раздела </w:t>
      </w:r>
      <w:r>
        <w:t xml:space="preserve">объектов не допускается создание объектов, являющихся местами жительства физических лиц.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Рекреационная деятельность на лесных участках осуществляется в соответствии с требованиями к освоению лесов, предусмотренными статьей 12 </w:t>
      </w:r>
      <w:r>
        <w:t xml:space="preserve">Лесного</w:t>
      </w:r>
      <w:r>
        <w:t xml:space="preserve"> </w:t>
      </w:r>
      <w:r>
        <w:t xml:space="preserve">к</w:t>
      </w:r>
      <w:r>
        <w:t xml:space="preserve">одекса.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Правила использования лесов для осуществления рекреационной деятельности установл</w:t>
      </w:r>
      <w:r>
        <w:t xml:space="preserve">ены</w:t>
      </w:r>
      <w:r>
        <w:t xml:space="preserve"> </w:t>
      </w:r>
      <w:r>
        <w:t xml:space="preserve">приказом Минприроды России от 9 ноября 2020 года № 908 «Об утверждении Правил использования лесов для осуществления рекреационной деятельности» (далее – Правила использования лесов для осуществления рекреационной деятельности)</w:t>
      </w:r>
      <w:r>
        <w:t xml:space="preserve">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юридическим лицам, индивидуальным предпринимателям в аренду.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Для осуществления рекреационной деятельности, связанной с оказанием услуг в сфере туризма, физической культуры и спорта, организацией отдыха и укрепления здоровья граждан, лица, использующи</w:t>
      </w:r>
      <w:r>
        <w:t xml:space="preserve">е леса, могут организовывать туристические станции, туристические тропы и трассы, проведение культурно-массовых мероприятий, пешеходные, велосипедные и лыжные прогулки, конные прогулки (верхом и (или) на повозках), занятия изобразительным искусством, позна</w:t>
      </w:r>
      <w:r>
        <w:t xml:space="preserve">вательные и экологические экскурсии, спортивные соревнования по отдельным видам спорта, специфика которых соответствует проведению соревнований в лесу, физкультурно-спортивные фестивали и тренировочные сборы, а также другие виды рекреационной деятельности.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Рекреационная деятельность в лесах, расположенных на особо охраняемых природных территориях, осуществляется в соответствии с законодательством Российской Федерации об особо охраняемых природных территориях.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В случае, если виды рекреационной деятельности, допускаемые на особо охраняемых природных территориях в со</w:t>
      </w:r>
      <w:r>
        <w:t xml:space="preserve">ответствии с законодательством Российской Федерации об особо охраняемых природных территориях, противоречат требованиям Правил использования лесов для осуществления рекреационной деятельности, такие виды деятельности на землях лесного фонда не допускаются.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На лесных участках, предоставленных для осуществления рекреационной деятельности, подлежат сохранению природные ландшафты, объекты животного мира, растительного мира, водные объекты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Использование лесов для осуществления рекреационной деятель</w:t>
      </w:r>
      <w:r>
        <w:t xml:space="preserve">ности в случае невозможности соблюдения охраны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Красную книгу субъекта Российской Федерации, не допускается.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При осуществлении рекреационной деятельности в лесах допускаются строительство, реконструкция и эксплуатация</w:t>
      </w:r>
      <w:r>
        <w:t xml:space="preserve"> объектов капитального строительства для оказания услуг в сфере туризма, развития физической культуры и спорта, организации отдыха и укрепления здоровья граждан, а также возведение для указанных целей некапитальных строений, сооружений, предусмотренных пер</w:t>
      </w:r>
      <w:r>
        <w:t xml:space="preserve">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инфраструктуры, указанными в части 10 статьи 21 и части 3 статьи 21.1 Лесного кодекса.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Размещение таких объектов капитального строительства и некапитальных строений, сооружений допускается на участках, не занятых лесными насаждениями.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При осуществлении рекреационной деятельности в лесах допускается осуществлять благоустройство соответствующих лесных участков.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Использование лесов для осуществления рекреационной деятельности осуществляется способами, не наносящими вреда окружающей среде и здоровью человека.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Лица, использующие леса для осуществления рекреационной деятельности, имеют право: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использовать лесн</w:t>
      </w:r>
      <w:r>
        <w:t xml:space="preserve">ой участок по целевому назначению в соответствии с Лесным кодексом, иными нормативными правовыми актами Российской Федерации, лесным планом субъекта Российской Федерации, лесохозяйственным регламентом лесничества, на основании проекта освоения лесов, догов</w:t>
      </w:r>
      <w:r>
        <w:t xml:space="preserve">ора аренды лесного участка, решения органа государственной власти, органа местного самоуправления, уполномоченного в соответствии со статьями 81 - 84 Лесного кодекса, о предоставлении лесного участка в постоянное (бессрочное) пользование;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создавать лесную инфраструктуру, в том числе лесные дороги;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осуществлять </w:t>
      </w:r>
      <w:r>
        <w:t xml:space="preserve">на части площади, не превышающей 20 процентов площади предоставленного для осуществления рекреационной деятельности лесного участка, общей площадью, не превышающей одного гектара и не занятой лесными насаждениями, строительство, реконструкцию и эксплуатаци</w:t>
      </w:r>
      <w:r>
        <w:t xml:space="preserve">ю объектов капитального строительства для оказания услуг в сфере туризма, развития физической культуры и спорта, организации отдыха и укрепления здоровья граждан, а также возводить для указанных целей некапитальные строения, сооружения, предусмотренные пер</w:t>
      </w:r>
      <w:r>
        <w:t xml:space="preserve">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инфраструктуры, указанными в части 10 статьи 21 и части 3 статьи 21.1 Лесного кодекса;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пользоваться другими правами, если их реализация не противоречит требованиям законодательства Российской Федерации.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Лица, использующие леса для осуществления рекреационной деятельности, обязаны: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составлять проект освоения лесов;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осуществлять использование лесов в соответствии с проектом освоения лесов, утвержденным в порядке, установленном законодательством Российской Федерации;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соблю</w:t>
      </w:r>
      <w:r>
        <w:t xml:space="preserve">дать условия договора аренды лесного участка, решения органа государственной власти, органа местного самоуправления, уполномоченного в соответствии со статьями 81 - 84 Лесного кодекса, о предоставлении лесного участка в постоянное (бессрочное) пользование;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осуществлять использование л</w:t>
      </w:r>
      <w:r>
        <w:t xml:space="preserve">есов для рекреационной деятельности способами и технологиями, предотвращающими возникновение эрозии почв, исключающими или ограничивающими негативное воздействие на последующее воспроизводство лесов, а также на состояние водных и других природных объектов;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подавать ежегодно лесную декларацию;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представлять отчет об использовании лесов;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представлять отчет об охране лесов от пожаров;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представлять отчет о защите лесов;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представлять отчет о воспроизводстве лесов и лесоразведении;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осуществлять меры противопожарного обустройства лесов на предоставленном лесном участке;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соблюдать меры санитарной безопасности в лесах;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осуществлять мероприятия по предупреждению распространения вредных организмов;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осуществ</w:t>
      </w:r>
      <w:r>
        <w:t xml:space="preserve">лять рекультивацию земель, которые использовались для строительства, реконструкции и (или) эксплуатации объектов, не связанных с созданием лесной инфраструктуры, сразу после прекращения эксплуатации, утраты функциональных свойств или гибели таких объектов;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после прекращения действия договора аренды лесного участка или решения органа государственной власти, органа местного самоуправления, уполномоченного в соответствии со ста</w:t>
      </w:r>
      <w:r>
        <w:t xml:space="preserve">тьями 81 - 84 Лесного кодекса, о предоставлении лесного участка в постоянное (бессрочное) пользование привести лесной участок в состояние, пригодное для его дальнейшего использования по целевому назначению в соответствии с видом разрешенного использования;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представлять в уполномоченный орган государственной власти, орган местного самоуправления документированную информацию, предусмотренную частью 2 статьи 91 Лесного кодекса, для внесения в государственный лесной реестр;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выполнять иные обязанности, предусмотренные лесным законодательством Российской Федерации.»;</w:t>
      </w:r>
      <w:r/>
    </w:p>
    <w:p>
      <w:pPr>
        <w:pStyle w:val="858"/>
        <w:ind w:firstLine="720"/>
        <w:jc w:val="both"/>
      </w:pPr>
      <w:r>
        <w:t xml:space="preserve">3</w:t>
      </w:r>
      <w:r>
        <w:t xml:space="preserve">) в </w:t>
      </w:r>
      <w:r>
        <w:t xml:space="preserve">раздел</w:t>
      </w:r>
      <w:r>
        <w:t xml:space="preserve">е</w:t>
      </w:r>
      <w:r>
        <w:t xml:space="preserve"> 17.1 «Требования к мерам пожарной безопасности в лесах, охране лесов от загрязнения радиоактивными веществами и иного негативного воздействия»</w:t>
      </w:r>
      <w:r>
        <w:t xml:space="preserve"> </w:t>
      </w:r>
      <w:r>
        <w:t xml:space="preserve">глав</w:t>
      </w:r>
      <w:r>
        <w:t xml:space="preserve">ы</w:t>
      </w:r>
      <w:r>
        <w:t xml:space="preserve"> 2 </w:t>
      </w:r>
      <w:r>
        <w:t xml:space="preserve">«</w:t>
      </w:r>
      <w:r>
        <w:t xml:space="preserve">Нормативы, параметры и сроки использования лесов, требования по охране, защите и воспроизводству лесов</w:t>
      </w:r>
      <w:r>
        <w:t xml:space="preserve">»</w:t>
      </w:r>
      <w:r>
        <w:t xml:space="preserve"> лесохозяйственного регламента</w:t>
      </w:r>
      <w:r>
        <w:t xml:space="preserve">:</w:t>
      </w:r>
      <w:r/>
    </w:p>
    <w:p>
      <w:pPr>
        <w:pStyle w:val="858"/>
        <w:ind w:firstLine="720"/>
        <w:jc w:val="both"/>
      </w:pPr>
      <w:r>
        <w:t xml:space="preserve">3</w:t>
      </w:r>
      <w:r>
        <w:t xml:space="preserve">.1) абзац</w:t>
      </w:r>
      <w:r>
        <w:t xml:space="preserve"> девятый изложить в следующей редакции: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</w:t>
      </w:r>
      <w:r>
        <w:t xml:space="preserve">Предупреждение лесных пожаров включает в себя противопожарное обустройство лесов, приобретение и содержание средств предупреждения и тушения лесных пожаров, противопожарную пропаганду и обучение населения мерам пожарной безопасности в лесах.</w:t>
      </w:r>
      <w:r>
        <w:t xml:space="preserve">»;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3</w:t>
      </w:r>
      <w:r>
        <w:t xml:space="preserve">.2) после абзаца девятого дополнить абзацем следующего содержания: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</w:t>
      </w:r>
      <w:r>
        <w:t xml:space="preserve">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</w:t>
      </w:r>
      <w:r>
        <w:t xml:space="preserve">.</w:t>
      </w:r>
      <w:r>
        <w:t xml:space="preserve">»;</w:t>
      </w:r>
      <w:r/>
    </w:p>
    <w:p>
      <w:pPr>
        <w:pStyle w:val="858"/>
        <w:ind w:firstLine="720"/>
        <w:jc w:val="both"/>
      </w:pPr>
      <w:r>
        <w:t xml:space="preserve">3</w:t>
      </w:r>
      <w:r>
        <w:t xml:space="preserve">.3) абзац десятый изложить в следующей редакции: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</w:t>
      </w:r>
      <w:r>
        <w:t xml:space="preserve">Меры противопожарного обустройства лесов включают в себя: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1) создание, содержание и эксплуатацию лесных дорог, предназначенных для охраны лесов от пожаров;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2) создание, содержание и эксплуатацию посадочных площадок, используемых в целях проведения авиационных работ по охране лесов от пожаров;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3) прокладку просек, противопожарных разрывов, устройство противопожарных минерализованных полос;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4) создание, содержание и эксплуатацию пожарных наблюдательных пунктов (вышек, мачт, павильонов и других наблюдательных пунктов);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5) создание в целях тушения лесных пожаров условий для забора в любое время года воды из источников наружного водоснабжения;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6) проведение гидромелиорации земель;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7) снижение природной пожарной опасности лесов путем регулирования породного состава лесных насаждений;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8) 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9) иные определенные Правительством Российской Федерации меры.»;</w:t>
      </w:r>
      <w:r/>
    </w:p>
    <w:p>
      <w:pPr>
        <w:pStyle w:val="858"/>
        <w:ind w:firstLine="720"/>
        <w:jc w:val="both"/>
      </w:pPr>
      <w:r>
        <w:t xml:space="preserve">3</w:t>
      </w:r>
      <w:r>
        <w:t xml:space="preserve">.4</w:t>
      </w:r>
      <w:r>
        <w:t xml:space="preserve">) </w:t>
      </w:r>
      <w:r>
        <w:t xml:space="preserve">абзац</w:t>
      </w:r>
      <w:r>
        <w:t xml:space="preserve"> двадцать седьмой, двадцать восьмой изложить в следующей редакции: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</w:t>
      </w:r>
      <w:r>
        <w:t xml:space="preserve">Противопожарные расстояния,</w:t>
      </w:r>
      <w:r>
        <w:t xml:space="preserve"> в пределах которых осуществляются рубка лесных насаждений, санитарно-оздоровительные мероприятия, уборка лесных горючих материалов, устанавливаются в соответствии с лесным законодательством и законодательством Российской Федерации о пожарной безопасности.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Приобретение и содержание средств предупреждения и тушения лесных пожаров включают в себя: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1) приобретение противопожарного снаряжения и инвентаря;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2) приобретение и содержание пожарной техники и оборудования, систем связи и оповещения;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3) создание резерва пожарной техники, оборудования, противопожарного снаряжения и инвентаря, а также горюче-смазочных материалов;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4) создание пунктов сосредоточения противопожарного инвентаря.»;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3</w:t>
      </w:r>
      <w:r>
        <w:t xml:space="preserve">.5) после абзаца тридцать первого дополнить абзацем следующего содержания: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«</w:t>
      </w:r>
      <w:r>
        <w:t xml:space="preserve">Противопожарная пропаганда и обучение населения мерам пожарной безопасности в лесах включают в себя: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1) издание и распространение специальной литературы и изготовление предметов наглядной агитации;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2) проведение тематических выставок, смотров, конференций и использование других форм информирования населения;</w:t>
      </w:r>
      <w:r/>
    </w:p>
    <w:p>
      <w:pPr>
        <w:pStyle w:val="858"/>
        <w:ind w:firstLine="720"/>
        <w:jc w:val="both"/>
        <w:spacing w:line="240" w:lineRule="atLeast"/>
      </w:pPr>
      <w:r>
        <w:t xml:space="preserve">3) иные мероприятия, предусмотренные лесным законодательством и законодательством Российской Федерации о пожарной безопасности.</w:t>
      </w:r>
      <w:r>
        <w:t xml:space="preserve">»</w:t>
      </w:r>
      <w:r>
        <w:t xml:space="preserve">.</w:t>
      </w:r>
      <w:r/>
    </w:p>
    <w:p>
      <w:pPr>
        <w:pStyle w:val="858"/>
        <w:ind w:firstLine="709"/>
        <w:jc w:val="both"/>
      </w:pPr>
      <w:r>
        <w:t xml:space="preserve">2. Опубликовать настоящее постановление в газете «Белоярские вести.</w:t>
      </w:r>
      <w:r>
        <w:t xml:space="preserve"> </w:t>
      </w:r>
      <w:r>
        <w:t xml:space="preserve">Официальный выпуск».</w:t>
      </w:r>
      <w:r/>
    </w:p>
    <w:p>
      <w:pPr>
        <w:pStyle w:val="858"/>
        <w:ind w:firstLine="709"/>
        <w:jc w:val="both"/>
      </w:pPr>
      <w:r>
        <w:t xml:space="preserve">3</w:t>
      </w:r>
      <w:r>
        <w:t xml:space="preserve">. Настоящее постановление вступает в силу после</w:t>
      </w:r>
      <w:r>
        <w:t xml:space="preserve"> его официального </w:t>
      </w:r>
      <w:r>
        <w:t xml:space="preserve">опубликования</w:t>
      </w:r>
      <w:r>
        <w:t xml:space="preserve">,</w:t>
      </w:r>
      <w:r>
        <w:t xml:space="preserve"> </w:t>
      </w:r>
      <w:r>
        <w:t xml:space="preserve">за исключением </w:t>
      </w:r>
      <w:r>
        <w:t xml:space="preserve">подпункта 3 пункта 1</w:t>
      </w:r>
      <w:r>
        <w:t xml:space="preserve"> настоящего </w:t>
      </w:r>
      <w:r>
        <w:t xml:space="preserve">постановления</w:t>
      </w:r>
      <w:r>
        <w:t xml:space="preserve">.</w:t>
      </w:r>
      <w:r/>
    </w:p>
    <w:p>
      <w:pPr>
        <w:pStyle w:val="858"/>
        <w:ind w:firstLine="709"/>
        <w:jc w:val="both"/>
      </w:pPr>
      <w:r>
        <w:t xml:space="preserve">4</w:t>
      </w:r>
      <w:r>
        <w:t xml:space="preserve">. </w:t>
      </w:r>
      <w:r>
        <w:t xml:space="preserve">Подпункт 3 пункта 1 настоящего постановления </w:t>
      </w:r>
      <w:r>
        <w:t xml:space="preserve">вступает в силу с 1 </w:t>
      </w:r>
      <w:r>
        <w:t xml:space="preserve">янва</w:t>
      </w:r>
      <w:r>
        <w:t xml:space="preserve">ря </w:t>
      </w:r>
      <w:r>
        <w:t xml:space="preserve">   </w:t>
      </w:r>
      <w:r>
        <w:t xml:space="preserve">2024 года.</w:t>
      </w:r>
      <w:r/>
    </w:p>
    <w:p>
      <w:pPr>
        <w:pStyle w:val="858"/>
        <w:ind w:firstLine="709"/>
        <w:jc w:val="both"/>
      </w:pPr>
      <w:r/>
      <w:r/>
    </w:p>
    <w:p>
      <w:pPr>
        <w:pStyle w:val="858"/>
        <w:ind w:firstLine="709"/>
        <w:jc w:val="both"/>
      </w:pPr>
      <w:r/>
      <w:r/>
    </w:p>
    <w:p>
      <w:pPr>
        <w:pStyle w:val="858"/>
        <w:ind w:firstLine="709"/>
        <w:jc w:val="both"/>
      </w:pPr>
      <w:r/>
      <w:r/>
    </w:p>
    <w:p>
      <w:pPr>
        <w:pStyle w:val="858"/>
        <w:jc w:val="both"/>
      </w:pPr>
      <w:r>
        <w:t xml:space="preserve">Глава Белоярского района</w:t>
        <w:tab/>
        <w:tab/>
        <w:tab/>
        <w:tab/>
        <w:tab/>
        <w:tab/>
        <w:tab/>
        <w:tab/>
        <w:t xml:space="preserve"> С.П.Маненков</w:t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paragraph" w:styleId="859">
    <w:name w:val="Заголовок 1"/>
    <w:basedOn w:val="858"/>
    <w:next w:val="858"/>
    <w:link w:val="858"/>
    <w:qFormat/>
    <w:pPr>
      <w:jc w:val="center"/>
      <w:keepNext/>
      <w:outlineLvl w:val="0"/>
    </w:pPr>
    <w:rPr>
      <w:b/>
      <w:sz w:val="28"/>
      <w:szCs w:val="20"/>
    </w:rPr>
  </w:style>
  <w:style w:type="paragraph" w:styleId="860">
    <w:name w:val="Заголовок 2"/>
    <w:basedOn w:val="858"/>
    <w:next w:val="858"/>
    <w:link w:val="85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1">
    <w:name w:val="Заголовок 3"/>
    <w:basedOn w:val="858"/>
    <w:next w:val="858"/>
    <w:link w:val="858"/>
    <w:qFormat/>
    <w:pPr>
      <w:jc w:val="center"/>
      <w:keepNext/>
      <w:outlineLvl w:val="2"/>
    </w:pPr>
    <w:rPr>
      <w:sz w:val="28"/>
      <w:szCs w:val="20"/>
    </w:rPr>
  </w:style>
  <w:style w:type="character" w:styleId="862">
    <w:name w:val="Основной шрифт абзаца"/>
    <w:next w:val="862"/>
    <w:link w:val="858"/>
    <w:semiHidden/>
  </w:style>
  <w:style w:type="table" w:styleId="863">
    <w:name w:val="Обычная таблица"/>
    <w:next w:val="863"/>
    <w:link w:val="858"/>
    <w:semiHidden/>
    <w:tblPr/>
  </w:style>
  <w:style w:type="numbering" w:styleId="864">
    <w:name w:val="Нет списка"/>
    <w:next w:val="864"/>
    <w:link w:val="858"/>
    <w:semiHidden/>
  </w:style>
  <w:style w:type="paragraph" w:styleId="865">
    <w:name w:val="ConsPlusNormal"/>
    <w:next w:val="865"/>
    <w:link w:val="87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6">
    <w:name w:val="Обычный (веб)"/>
    <w:basedOn w:val="858"/>
    <w:next w:val="866"/>
    <w:link w:val="858"/>
    <w:pPr>
      <w:spacing w:before="100" w:beforeAutospacing="1" w:after="100" w:afterAutospacing="1"/>
    </w:pPr>
  </w:style>
  <w:style w:type="paragraph" w:styleId="867">
    <w:name w:val="ConsPlusTitle"/>
    <w:next w:val="867"/>
    <w:link w:val="85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8">
    <w:name w:val="Основной текст с отступом 2"/>
    <w:basedOn w:val="858"/>
    <w:next w:val="868"/>
    <w:link w:val="858"/>
    <w:pPr>
      <w:ind w:firstLine="709"/>
      <w:jc w:val="both"/>
    </w:pPr>
  </w:style>
  <w:style w:type="paragraph" w:styleId="869">
    <w:name w:val="Верхний колонтитул"/>
    <w:basedOn w:val="858"/>
    <w:next w:val="869"/>
    <w:link w:val="858"/>
    <w:pPr>
      <w:tabs>
        <w:tab w:val="center" w:pos="4677" w:leader="none"/>
        <w:tab w:val="right" w:pos="9355" w:leader="none"/>
      </w:tabs>
    </w:pPr>
  </w:style>
  <w:style w:type="paragraph" w:styleId="870">
    <w:name w:val="Нижний колонтитул"/>
    <w:basedOn w:val="858"/>
    <w:next w:val="870"/>
    <w:link w:val="858"/>
    <w:pPr>
      <w:tabs>
        <w:tab w:val="center" w:pos="4677" w:leader="none"/>
        <w:tab w:val="right" w:pos="9355" w:leader="none"/>
      </w:tabs>
    </w:pPr>
  </w:style>
  <w:style w:type="character" w:styleId="871">
    <w:name w:val="Номер страницы"/>
    <w:basedOn w:val="862"/>
    <w:next w:val="871"/>
    <w:link w:val="858"/>
  </w:style>
  <w:style w:type="paragraph" w:styleId="872">
    <w:name w:val="ConsPlusNonformat"/>
    <w:next w:val="872"/>
    <w:link w:val="85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3">
    <w:name w:val="ConsPlusCell"/>
    <w:next w:val="873"/>
    <w:link w:val="858"/>
    <w:pPr>
      <w:widowControl w:val="off"/>
    </w:pPr>
    <w:rPr>
      <w:rFonts w:ascii="Arial" w:hAnsi="Arial" w:cs="Arial"/>
      <w:lang w:val="ru-RU" w:eastAsia="ru-RU" w:bidi="ar-SA"/>
    </w:rPr>
  </w:style>
  <w:style w:type="table" w:styleId="874">
    <w:name w:val="Сетка таблицы"/>
    <w:basedOn w:val="863"/>
    <w:next w:val="874"/>
    <w:link w:val="858"/>
    <w:tblPr/>
  </w:style>
  <w:style w:type="paragraph" w:styleId="875">
    <w:name w:val="Текст выноски"/>
    <w:basedOn w:val="858"/>
    <w:next w:val="875"/>
    <w:link w:val="858"/>
    <w:semiHidden/>
    <w:rPr>
      <w:rFonts w:ascii="Tahoma" w:hAnsi="Tahoma" w:cs="Tahoma"/>
      <w:sz w:val="16"/>
      <w:szCs w:val="16"/>
    </w:rPr>
  </w:style>
  <w:style w:type="paragraph" w:styleId="876">
    <w:name w:val="Основной текст с отступом 3"/>
    <w:basedOn w:val="858"/>
    <w:next w:val="876"/>
    <w:link w:val="858"/>
    <w:pPr>
      <w:ind w:left="283"/>
      <w:spacing w:after="120"/>
    </w:pPr>
    <w:rPr>
      <w:sz w:val="16"/>
      <w:szCs w:val="16"/>
    </w:rPr>
  </w:style>
  <w:style w:type="paragraph" w:styleId="877">
    <w:name w:val="Знак"/>
    <w:basedOn w:val="858"/>
    <w:next w:val="877"/>
    <w:link w:val="858"/>
    <w:pPr>
      <w:spacing w:after="160" w:line="240" w:lineRule="exact"/>
    </w:pPr>
    <w:rPr>
      <w:rFonts w:ascii="Verdana" w:hAnsi="Verdana"/>
      <w:lang w:val="en-US" w:eastAsia="en-US"/>
    </w:rPr>
  </w:style>
  <w:style w:type="paragraph" w:styleId="878">
    <w:name w:val="Абзац списка"/>
    <w:basedOn w:val="858"/>
    <w:next w:val="878"/>
    <w:link w:val="85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79">
    <w:name w:val="ConsPlusNormal Знак"/>
    <w:next w:val="879"/>
    <w:link w:val="865"/>
    <w:rPr>
      <w:rFonts w:ascii="Arial" w:hAnsi="Arial" w:cs="Arial"/>
      <w:lang w:val="ru-RU" w:eastAsia="ru-RU" w:bidi="ar-SA"/>
    </w:rPr>
  </w:style>
  <w:style w:type="paragraph" w:styleId="880">
    <w:name w:val="Текст"/>
    <w:basedOn w:val="858"/>
    <w:next w:val="880"/>
    <w:link w:val="881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881">
    <w:name w:val="Текст Знак"/>
    <w:next w:val="881"/>
    <w:link w:val="880"/>
    <w:uiPriority w:val="99"/>
    <w:rPr>
      <w:rFonts w:ascii="Consolas" w:hAnsi="Consolas" w:eastAsia="Calibri" w:cs="Consolas"/>
      <w:sz w:val="21"/>
      <w:szCs w:val="21"/>
    </w:rPr>
  </w:style>
  <w:style w:type="character" w:styleId="882">
    <w:name w:val="Гиперссылка"/>
    <w:next w:val="882"/>
    <w:link w:val="858"/>
    <w:rPr>
      <w:color w:val="0000ff"/>
      <w:u w:val="single"/>
    </w:rPr>
  </w:style>
  <w:style w:type="paragraph" w:styleId="883">
    <w:name w:val="Основной текст с отступом"/>
    <w:basedOn w:val="858"/>
    <w:next w:val="883"/>
    <w:link w:val="884"/>
    <w:pPr>
      <w:ind w:left="283"/>
      <w:spacing w:after="120"/>
    </w:pPr>
  </w:style>
  <w:style w:type="character" w:styleId="884">
    <w:name w:val="Основной текст с отступом Знак"/>
    <w:next w:val="884"/>
    <w:link w:val="883"/>
    <w:rPr>
      <w:sz w:val="24"/>
      <w:szCs w:val="24"/>
    </w:rPr>
  </w:style>
  <w:style w:type="paragraph" w:styleId="885">
    <w:name w:val="u"/>
    <w:basedOn w:val="858"/>
    <w:next w:val="885"/>
    <w:link w:val="858"/>
    <w:pPr>
      <w:ind w:firstLine="539"/>
      <w:jc w:val="both"/>
    </w:pPr>
    <w:rPr>
      <w:color w:val="000000"/>
      <w:sz w:val="18"/>
      <w:szCs w:val="20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18</cp:revision>
  <dcterms:created xsi:type="dcterms:W3CDTF">2023-06-14T09:50:00Z</dcterms:created>
  <dcterms:modified xsi:type="dcterms:W3CDTF">2025-12-25T03:28:41Z</dcterms:modified>
  <cp:version>1048576</cp:version>
</cp:coreProperties>
</file>