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ind w:left="0" w:leftChars="0" w:firstLine="439" w:firstLineChars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управление жилищно-коммунального хозяйства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hint="default" w:ascii="Times New Roman" w:hAnsi="Times New Roman"/>
                <w:sz w:val="24"/>
                <w:szCs w:val="24"/>
              </w:rPr>
              <w:t>О Порядке проведения проверки инвестиционных проектов на предмет эффективности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использования средств бюджета Белоярского района направляемых на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/>
                <w:sz w:val="24"/>
                <w:szCs w:val="24"/>
                <w:lang w:eastAsia="ru-RU"/>
              </w:rPr>
              <w:t>управления экономики, реформ и программ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2г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(пять рабочих дней)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instrText xml:space="preserve"> HYPERLINK "mailto:KylabyhovaAS@admbel.ru"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FF"/>
                <w:sz w:val="24"/>
                <w:szCs w:val="24"/>
              </w:rPr>
              <w:t>KylabyhovaAS@admbel.ru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628161, Ханты-Мансийский автономный округ – Югра, г.Белоярский, ул. Центральная, д.9.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Кулабухова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Анастасия Сергеевна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ведущий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специалист отдела экономики и прогнозирования управления экономики, реформ и программ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62-168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ind w:left="0" w:leftChars="0" w:firstLine="439" w:firstLineChars="183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</w:rPr>
              <w:t>О Порядке проведения проверки инвестиционных проектов на предмет эффективности использования средств бюджета Белоярского района направляемых на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определяет правила проведения проверки инвестиционных проектов, предусматривающих строительство, реконструкцию объектов капитального строительства, приобретение объектов недвижимого имущества, находящихся (которые будут находиться) в муниципальной собственности и финансовое обеспечение которых полностью или частично осуществляется из бюджета Белоярского района, на предмет эффективности использования средств бюджета Белоярского района, направляемых на капитальные вложения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Целью проведения проверки является оценка соответствия инвестиционного проекта установленным порядком качественным, количественным критериям и интегральной оценке эффективности использования средств бюджета, направляемых на капитальные вложения, в целях реализации указанного инвестиционного проекта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>
            <w:pPr>
              <w:ind w:left="0" w:leftChars="0" w:firstLine="439" w:firstLineChars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жилищно-коммунального хозяйства администрации Белоярского района 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left="0" w:leftChars="0" w:firstLine="439" w:firstLineChars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ind w:left="0" w:leftChars="0" w:firstLine="439" w:firstLineChars="1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567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921F6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9C318D"/>
    <w:rsid w:val="00A02011"/>
    <w:rsid w:val="00A2418B"/>
    <w:rsid w:val="00A31923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B7F43"/>
    <w:rsid w:val="00CC6916"/>
    <w:rsid w:val="00CD11FD"/>
    <w:rsid w:val="00CF2C36"/>
    <w:rsid w:val="00CF7373"/>
    <w:rsid w:val="00D611C4"/>
    <w:rsid w:val="00D6381B"/>
    <w:rsid w:val="00D662BF"/>
    <w:rsid w:val="00D84A29"/>
    <w:rsid w:val="00DB20C3"/>
    <w:rsid w:val="00E03B93"/>
    <w:rsid w:val="00E075A0"/>
    <w:rsid w:val="00E30C57"/>
    <w:rsid w:val="00E7458F"/>
    <w:rsid w:val="00E962C5"/>
    <w:rsid w:val="00F60E97"/>
    <w:rsid w:val="00F82BB9"/>
    <w:rsid w:val="00FB6173"/>
    <w:rsid w:val="00FE1BE3"/>
    <w:rsid w:val="00FE3AC4"/>
    <w:rsid w:val="2CA02766"/>
    <w:rsid w:val="74E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383</Words>
  <Characters>3218</Characters>
  <Lines>26</Lines>
  <Paragraphs>7</Paragraphs>
  <TotalTime>6</TotalTime>
  <ScaleCrop>false</ScaleCrop>
  <LinksUpToDate>false</LinksUpToDate>
  <CharactersWithSpaces>3594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2022-03-11T11:03:00Z</dcterms:created>
  <dc:creator>Плетнёва Татьяна Васильевна</dc:creator>
  <cp:lastModifiedBy>Анастасия Кулаб�</cp:lastModifiedBy>
  <cp:lastPrinted>2020-01-15T10:42:00Z</cp:lastPrinted>
  <dcterms:modified xsi:type="dcterms:W3CDTF">2022-05-19T12:00:47Z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9A5EEF48D07D4C98BF831524C90D877E</vt:lpwstr>
  </property>
</Properties>
</file>