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6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0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86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1 декабря</w:t>
      </w:r>
      <w:r>
        <w:rPr>
          <w:rFonts w:eastAsia="Times New Roman"/>
          <w:sz w:val="24"/>
          <w:szCs w:val="24"/>
          <w:lang w:eastAsia="ru-RU"/>
        </w:rPr>
        <w:t xml:space="preserve"> 202</w:t>
      </w:r>
      <w:r>
        <w:rPr>
          <w:rFonts w:eastAsia="Times New Roman"/>
          <w:sz w:val="24"/>
          <w:szCs w:val="24"/>
          <w:lang w:eastAsia="ru-RU"/>
        </w:rPr>
        <w:t xml:space="preserve">5</w:t>
      </w:r>
      <w:r>
        <w:rPr>
          <w:rFonts w:eastAsia="Times New Roman"/>
          <w:sz w:val="24"/>
          <w:szCs w:val="24"/>
          <w:lang w:eastAsia="ru-RU"/>
        </w:rPr>
        <w:t xml:space="preserve"> года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>
        <w:rPr>
          <w:rFonts w:eastAsia="Times New Roman"/>
          <w:sz w:val="24"/>
          <w:szCs w:val="24"/>
          <w:lang w:eastAsia="ru-RU"/>
        </w:rPr>
        <w:t xml:space="preserve">              № </w:t>
      </w:r>
      <w:r>
        <w:rPr>
          <w:rFonts w:eastAsia="Times New Roman"/>
          <w:sz w:val="24"/>
          <w:szCs w:val="24"/>
          <w:lang w:eastAsia="ru-RU"/>
        </w:rPr>
        <w:t xml:space="preserve">794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декабря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20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24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года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8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39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0"/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rFonts w:eastAsia="Times New Roman"/>
          <w:sz w:val="24"/>
          <w:szCs w:val="24"/>
          <w:lang w:eastAsia="ru-RU"/>
        </w:rPr>
        <w:t xml:space="preserve">» (далее – Программа) к постановлению администрации Белоярского района от </w:t>
      </w:r>
      <w:r>
        <w:rPr>
          <w:rFonts w:eastAsia="Times New Roman"/>
          <w:sz w:val="24"/>
          <w:szCs w:val="24"/>
          <w:lang w:eastAsia="ru-RU"/>
        </w:rPr>
        <w:t xml:space="preserve">5</w:t>
      </w:r>
      <w:r>
        <w:rPr>
          <w:rFonts w:eastAsia="Times New Roman"/>
          <w:sz w:val="24"/>
          <w:szCs w:val="24"/>
          <w:lang w:eastAsia="ru-RU"/>
        </w:rPr>
        <w:t xml:space="preserve"> декабря </w:t>
      </w:r>
      <w:r>
        <w:rPr>
          <w:rFonts w:eastAsia="Times New Roman"/>
          <w:sz w:val="24"/>
          <w:szCs w:val="24"/>
          <w:lang w:eastAsia="ru-RU"/>
        </w:rPr>
        <w:t xml:space="preserve">20</w:t>
      </w:r>
      <w:r>
        <w:rPr>
          <w:rFonts w:eastAsia="Times New Roman"/>
          <w:sz w:val="24"/>
          <w:szCs w:val="24"/>
          <w:lang w:eastAsia="ru-RU"/>
        </w:rPr>
        <w:t xml:space="preserve">24</w:t>
      </w:r>
      <w:r>
        <w:rPr>
          <w:rFonts w:eastAsia="Times New Roman"/>
          <w:sz w:val="24"/>
          <w:szCs w:val="24"/>
          <w:lang w:eastAsia="ru-RU"/>
        </w:rPr>
        <w:t xml:space="preserve"> года 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8</w:t>
      </w:r>
      <w:r>
        <w:rPr>
          <w:rFonts w:eastAsia="Times New Roman"/>
          <w:sz w:val="24"/>
          <w:szCs w:val="24"/>
          <w:lang w:eastAsia="ru-RU"/>
        </w:rPr>
        <w:t xml:space="preserve">39</w:t>
      </w:r>
      <w:r>
        <w:rPr>
          <w:rFonts w:eastAsia="Times New Roman"/>
          <w:sz w:val="24"/>
          <w:szCs w:val="24"/>
          <w:lang w:eastAsia="ru-RU"/>
        </w:rPr>
        <w:t xml:space="preserve"> «Об утверждении муниципальной программы Белоярского района 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rFonts w:eastAsia="Times New Roman"/>
          <w:sz w:val="24"/>
          <w:szCs w:val="24"/>
          <w:lang w:eastAsia="ru-RU"/>
        </w:rPr>
        <w:t xml:space="preserve">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356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860"/>
              <w:ind w:right="459"/>
              <w:spacing w:after="0"/>
              <w:rPr>
                <w:sz w:val="24"/>
                <w:szCs w:val="24"/>
              </w:rPr>
            </w:pPr>
            <w: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860"/>
              <w:spacing w:after="0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176 202,3</w:t>
            </w:r>
            <w:r>
              <w:rPr>
                <w:color w:val="000000" w:themeColor="text1"/>
              </w:rPr>
              <w:t xml:space="preserve"> тысяч рублей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60"/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</w:t>
      </w:r>
      <w:r>
        <w:rPr>
          <w:sz w:val="24"/>
          <w:szCs w:val="24"/>
        </w:rPr>
        <w:t xml:space="preserve">Паспорта муниципальной программы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pStyle w:val="860"/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 xml:space="preserve">пункт 3</w:t>
      </w:r>
      <w:r>
        <w:rPr>
          <w:strike w:val="0"/>
          <w:sz w:val="24"/>
          <w:szCs w:val="24"/>
        </w:rPr>
        <w:t xml:space="preserve"> приложения 2 «Адресный перечень дворовых и общественных территорий, планируемых к благоустройству»</w:t>
      </w:r>
      <w:r>
        <w:rPr>
          <w:strike w:val="0"/>
          <w:sz w:val="24"/>
          <w:szCs w:val="24"/>
        </w:rPr>
        <w:t xml:space="preserve"> к муниципальной программе</w:t>
      </w:r>
      <w:r>
        <w:rPr>
          <w:strike w:val="0"/>
          <w:sz w:val="24"/>
          <w:szCs w:val="24"/>
        </w:rPr>
        <w:t xml:space="preserve"> изложить в следующей редакции:</w:t>
      </w:r>
      <w:r>
        <w:rPr>
          <w:strike w:val="0"/>
          <w:sz w:val="24"/>
          <w:szCs w:val="24"/>
        </w:rPr>
      </w:r>
      <w:r>
        <w:rPr>
          <w:strike w:val="0"/>
          <w:sz w:val="24"/>
          <w:szCs w:val="24"/>
        </w:rPr>
      </w:r>
    </w:p>
    <w:p>
      <w:pPr>
        <w:pStyle w:val="886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strike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strike w:val="0"/>
          <w:sz w:val="24"/>
          <w:szCs w:val="24"/>
        </w:rPr>
        <w:t xml:space="preserve">3</w:t>
      </w:r>
      <w:r>
        <w:rPr>
          <w:rFonts w:ascii="Times New Roman" w:hAnsi="Times New Roman" w:cs="Times New Roman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Перечень общественных территорий, нуждающихся в благоустройстве,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по результатам инвентаризации, с учетом их физического состояния и инициатив граждан, организаций, в том числе по результатам голосования по отбору общественных территорий и в рамках реализации инициативных проектов.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6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1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1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86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textDirection w:val="lrTb"/>
            <w:noWrap w:val="false"/>
          </w:tcPr>
          <w:p>
            <w:pPr>
              <w:pStyle w:val="886"/>
              <w:jc w:val="center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Общественные территории, подлежащие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г.Белоярский. Благоустройство набережной в районе речного вокзала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г.Белоярский. Благоустройство набережной в районе озера Школьное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60"/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первого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заместителя главы Белоярского района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Ойнеца А.В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6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6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6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907" w:right="1134" w:bottom="907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</w:t>
      </w:r>
      <w:r>
        <w:rPr>
          <w:rFonts w:eastAsia="Times New Roman"/>
          <w:sz w:val="24"/>
          <w:szCs w:val="20"/>
          <w:lang w:eastAsia="ru-RU"/>
        </w:rPr>
        <w:t xml:space="preserve">а      </w:t>
      </w:r>
      <w:r>
        <w:rPr>
          <w:rFonts w:eastAsia="Times New Roman"/>
          <w:sz w:val="24"/>
          <w:szCs w:val="20"/>
          <w:lang w:eastAsia="ru-RU"/>
        </w:rPr>
        <w:t xml:space="preserve">                                         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60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0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0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1 декабря </w:t>
      </w:r>
      <w:r>
        <w:rPr>
          <w:sz w:val="24"/>
          <w:szCs w:val="24"/>
          <w:lang w:eastAsia="ru-RU"/>
        </w:rPr>
        <w:t xml:space="preserve">202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 года № 794</w:t>
      </w:r>
      <w:r>
        <w:rPr>
          <w:sz w:val="24"/>
          <w:szCs w:val="24"/>
          <w:lang w:eastAsia="ru-RU"/>
        </w:rPr>
      </w:r>
    </w:p>
    <w:p>
      <w:pPr>
        <w:pStyle w:val="86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4.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028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134"/>
        <w:gridCol w:w="1134"/>
        <w:gridCol w:w="1134"/>
        <w:gridCol w:w="1134"/>
        <w:gridCol w:w="1134"/>
        <w:gridCol w:w="1136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940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Муниципальная программа «Формирование современной городской среды» 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62 826,2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176 202,3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35 793,0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111 660,8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Объем налоговых расходов Белоярского района (справочно)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Региональный проект «Формирование комфортной городской среды» (всего), 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30 039,8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71 715,9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3 006,6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7 174,4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1.1.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результат «Благоустройство общественных территорий поселений Белоярского района, включенных в региональный проект ХМАО-Югры</w:t>
            </w:r>
            <w:r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по формированию комфортной городской среды» (всего),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30 039,8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71 715,9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3 006,6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7 174,4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 процессных мероприятий «Благоустройство общественных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2.1.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«Благоустройство общественных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 процессных мероприятий «Благоустройство дворовых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29 752,9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99 652,9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29 752,9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99 652,9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3.1.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«Благоустройство дворовых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13 742,4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28 742,4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13 742,4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28 742,4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3.2.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результат «Предоставлены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16 010,5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70 910,5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16 010,5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70 910,5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860"/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2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61">
    <w:name w:val="Заголовок 1"/>
    <w:basedOn w:val="860"/>
    <w:next w:val="860"/>
    <w:link w:val="867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62">
    <w:name w:val="Заголовок 2"/>
    <w:basedOn w:val="860"/>
    <w:next w:val="860"/>
    <w:link w:val="868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63">
    <w:name w:val="Заголовок 3"/>
    <w:basedOn w:val="860"/>
    <w:next w:val="860"/>
    <w:link w:val="869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64">
    <w:name w:val="Основной шрифт абзаца"/>
    <w:next w:val="864"/>
    <w:link w:val="860"/>
    <w:uiPriority w:val="1"/>
    <w:unhideWhenUsed/>
  </w:style>
  <w:style w:type="table" w:styleId="865">
    <w:name w:val="Обычная таблица"/>
    <w:next w:val="865"/>
    <w:link w:val="860"/>
    <w:uiPriority w:val="99"/>
    <w:unhideWhenUsed/>
    <w:tblPr/>
  </w:style>
  <w:style w:type="numbering" w:styleId="866">
    <w:name w:val="Нет списка"/>
    <w:next w:val="866"/>
    <w:link w:val="860"/>
    <w:uiPriority w:val="99"/>
    <w:semiHidden/>
    <w:unhideWhenUsed/>
  </w:style>
  <w:style w:type="character" w:styleId="867">
    <w:name w:val="Заголовок 1 Знак"/>
    <w:next w:val="867"/>
    <w:link w:val="86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68">
    <w:name w:val="Заголовок 2 Знак"/>
    <w:next w:val="868"/>
    <w:link w:val="86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69">
    <w:name w:val="Заголовок 3 Знак"/>
    <w:next w:val="869"/>
    <w:link w:val="86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0">
    <w:name w:val="Знак примечания"/>
    <w:next w:val="870"/>
    <w:link w:val="860"/>
    <w:uiPriority w:val="99"/>
    <w:unhideWhenUsed/>
    <w:rPr>
      <w:sz w:val="16"/>
      <w:szCs w:val="16"/>
    </w:rPr>
  </w:style>
  <w:style w:type="paragraph" w:styleId="871">
    <w:name w:val="Текст выноски"/>
    <w:basedOn w:val="860"/>
    <w:next w:val="871"/>
    <w:link w:val="872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Основной текст с отступом 3"/>
    <w:basedOn w:val="860"/>
    <w:next w:val="873"/>
    <w:link w:val="874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74">
    <w:name w:val="Основной текст с отступом 3 Знак"/>
    <w:next w:val="874"/>
    <w:link w:val="873"/>
    <w:rPr>
      <w:rFonts w:eastAsia="Times New Roman"/>
      <w:sz w:val="24"/>
    </w:rPr>
  </w:style>
  <w:style w:type="paragraph" w:styleId="875">
    <w:name w:val="Текст примечания"/>
    <w:basedOn w:val="860"/>
    <w:next w:val="875"/>
    <w:link w:val="876"/>
    <w:uiPriority w:val="99"/>
    <w:unhideWhenUsed/>
    <w:pPr>
      <w:spacing w:line="240" w:lineRule="auto"/>
    </w:pPr>
    <w:rPr>
      <w:sz w:val="20"/>
      <w:szCs w:val="20"/>
    </w:rPr>
  </w:style>
  <w:style w:type="character" w:styleId="876">
    <w:name w:val="Текст примечания Знак"/>
    <w:next w:val="876"/>
    <w:link w:val="875"/>
    <w:uiPriority w:val="99"/>
    <w:semiHidden/>
    <w:rPr>
      <w:sz w:val="20"/>
      <w:szCs w:val="20"/>
    </w:rPr>
  </w:style>
  <w:style w:type="paragraph" w:styleId="877">
    <w:name w:val="Тема примечания"/>
    <w:basedOn w:val="875"/>
    <w:next w:val="875"/>
    <w:link w:val="878"/>
    <w:uiPriority w:val="99"/>
    <w:unhideWhenUsed/>
    <w:rPr>
      <w:b/>
      <w:bCs/>
    </w:rPr>
  </w:style>
  <w:style w:type="character" w:styleId="878">
    <w:name w:val="Тема примечания Знак"/>
    <w:next w:val="878"/>
    <w:link w:val="877"/>
    <w:uiPriority w:val="99"/>
    <w:semiHidden/>
    <w:rPr>
      <w:b/>
      <w:bCs/>
      <w:sz w:val="20"/>
      <w:szCs w:val="20"/>
    </w:rPr>
  </w:style>
  <w:style w:type="paragraph" w:styleId="879">
    <w:name w:val="Верхний колонтитул"/>
    <w:basedOn w:val="860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>
    <w:name w:val="Верхний колонтитул Знак"/>
    <w:next w:val="880"/>
    <w:link w:val="879"/>
    <w:uiPriority w:val="99"/>
    <w:rPr>
      <w:sz w:val="22"/>
      <w:szCs w:val="22"/>
      <w:lang w:eastAsia="en-US"/>
    </w:rPr>
  </w:style>
  <w:style w:type="paragraph" w:styleId="881">
    <w:name w:val="Нижний колонтитул"/>
    <w:basedOn w:val="860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uiPriority w:val="99"/>
    <w:rPr>
      <w:sz w:val="22"/>
      <w:szCs w:val="22"/>
      <w:lang w:eastAsia="en-US"/>
    </w:rPr>
  </w:style>
  <w:style w:type="paragraph" w:styleId="883">
    <w:name w:val="Обычный (веб)"/>
    <w:basedOn w:val="860"/>
    <w:next w:val="883"/>
    <w:link w:val="86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84">
    <w:name w:val="Абзац списка"/>
    <w:basedOn w:val="860"/>
    <w:next w:val="884"/>
    <w:link w:val="860"/>
    <w:uiPriority w:val="34"/>
    <w:qFormat/>
    <w:pPr>
      <w:contextualSpacing/>
      <w:ind w:left="720"/>
    </w:pPr>
  </w:style>
  <w:style w:type="paragraph" w:styleId="885">
    <w:name w:val="Без интервала"/>
    <w:next w:val="885"/>
    <w:link w:val="860"/>
    <w:uiPriority w:val="1"/>
    <w:qFormat/>
    <w:rPr>
      <w:sz w:val="22"/>
      <w:szCs w:val="22"/>
      <w:lang w:val="ru-RU" w:eastAsia="en-US" w:bidi="ar-SA"/>
    </w:rPr>
  </w:style>
  <w:style w:type="paragraph" w:styleId="886">
    <w:name w:val="ConsPlusNormal"/>
    <w:next w:val="886"/>
    <w:link w:val="892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7">
    <w:name w:val="ConsPlusTitle"/>
    <w:next w:val="887"/>
    <w:link w:val="86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88">
    <w:name w:val="Рецензия"/>
    <w:next w:val="888"/>
    <w:link w:val="860"/>
    <w:uiPriority w:val="99"/>
    <w:semiHidden/>
    <w:rPr>
      <w:sz w:val="22"/>
      <w:szCs w:val="22"/>
      <w:lang w:val="ru-RU" w:eastAsia="en-US" w:bidi="ar-SA"/>
    </w:rPr>
  </w:style>
  <w:style w:type="character" w:styleId="889">
    <w:name w:val="font21"/>
    <w:next w:val="889"/>
    <w:link w:val="86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0">
    <w:name w:val="font41"/>
    <w:next w:val="890"/>
    <w:link w:val="86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1">
    <w:name w:val="font11"/>
    <w:next w:val="891"/>
    <w:link w:val="86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2">
    <w:name w:val="ConsPlusNormal Знак"/>
    <w:next w:val="892"/>
    <w:link w:val="886"/>
    <w:rPr>
      <w:rFonts w:ascii="Arial" w:hAnsi="Arial" w:eastAsia="Times New Roman" w:cs="Arial"/>
    </w:rPr>
  </w:style>
  <w:style w:type="paragraph" w:styleId="893">
    <w:name w:val="Знак Знак Знак"/>
    <w:basedOn w:val="860"/>
    <w:next w:val="893"/>
    <w:link w:val="860"/>
    <w:pPr>
      <w:spacing w:after="160" w:line="240" w:lineRule="exact"/>
    </w:pPr>
    <w:rPr>
      <w:rFonts w:ascii="Verdana" w:hAnsi="Verdana" w:eastAsia="Times New Roman"/>
      <w:color w:val="000000"/>
      <w:sz w:val="24"/>
      <w:szCs w:val="24"/>
      <w:lang w:val="en-US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Mashburo</cp:lastModifiedBy>
  <cp:revision>22</cp:revision>
  <dcterms:created xsi:type="dcterms:W3CDTF">2025-06-09T09:37:00Z</dcterms:created>
  <dcterms:modified xsi:type="dcterms:W3CDTF">2025-12-01T06:38:56Z</dcterms:modified>
  <cp:version>917504</cp:version>
</cp:coreProperties>
</file>