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5"/>
      </w:pPr>
      <w:r/>
      <w:r/>
    </w:p>
    <w:p>
      <w:pPr>
        <w:pStyle w:val="915"/>
        <w:jc w:val="right"/>
      </w:pPr>
      <w:r>
        <w:t xml:space="preserve">ПРОЕКТ</w:t>
      </w:r>
      <w:r/>
    </w:p>
    <w:p>
      <w:pPr>
        <w:pStyle w:val="915"/>
      </w:pPr>
      <w:r>
        <w:t xml:space="preserve">от    января 2026 года                                                                                                            № </w:t>
      </w:r>
      <w:r/>
    </w:p>
    <w:p>
      <w:pPr>
        <w:pStyle w:val="915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 855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eastAsia="Times New Roman"/>
          <w:sz w:val="24"/>
          <w:szCs w:val="24"/>
          <w:lang w:eastAsia="ru-RU"/>
        </w:rPr>
        <w:t xml:space="preserve">ю: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1 «Муниципальная программа Белоярского района «Управление муниципальными финансами в Белоярском районе» (д</w:t>
      </w:r>
      <w:r>
        <w:rPr>
          <w:rFonts w:eastAsia="Times New Roman"/>
          <w:sz w:val="24"/>
          <w:szCs w:val="24"/>
          <w:lang w:eastAsia="ru-RU"/>
        </w:rPr>
        <w:t xml:space="preserve">алее – муниципальная программа) к постановлению администрации Белоярского района от 5 декабря 2024 года          № 855 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zh-CN" w:bidi="ar"/>
        </w:rPr>
        <w:t xml:space="preserve">1) с</w:t>
      </w:r>
      <w:r>
        <w:rPr>
          <w:sz w:val="24"/>
          <w:szCs w:val="24"/>
          <w:lang w:eastAsia="zh-CN" w:bidi="ar"/>
        </w:rPr>
        <w:t xml:space="preserve">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«Управление муниципальными финансами в Белоярском районе» (далее – Паспорт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программы)  изложить</w:t>
      </w:r>
      <w:r>
        <w:rPr>
          <w:rFonts w:eastAsia="Times New Roman"/>
          <w:sz w:val="24"/>
          <w:szCs w:val="24"/>
          <w:lang w:eastAsia="ru-RU"/>
        </w:rPr>
        <w:t xml:space="preserve"> в следующей редакции: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499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6513"/>
      </w:tblGrid>
      <w:tr>
        <w:tblPrEx/>
        <w:trPr>
          <w:trHeight w:val="818"/>
        </w:trPr>
        <w:tc>
          <w:tcPr>
            <w:tcBorders>
              <w:right w:val="single" w:color="000000" w:sz="4" w:space="0"/>
            </w:tcBorders>
            <w:tcW w:w="1564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2 354 714,9</w:t>
            </w:r>
            <w:r>
              <w:rPr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sz w:val="24"/>
                <w:szCs w:val="24"/>
                <w:lang w:eastAsia="zh-CN" w:bidi="ar"/>
              </w:rPr>
              <w:t xml:space="preserve">тысяч рублей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</w:t>
      </w:r>
      <w:r>
        <w:rPr>
          <w:rFonts w:eastAsia="Times New Roman"/>
          <w:sz w:val="24"/>
          <w:szCs w:val="24"/>
          <w:lang w:eastAsia="ru-RU"/>
        </w:rPr>
        <w:t xml:space="preserve">приложению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20" w:leader="none"/>
        </w:tabs>
        <w:rPr>
          <w:rFonts w:eastAsia="Times New Roman"/>
          <w:sz w:val="24"/>
          <w:szCs w:val="24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0" w:right="851" w:bottom="1134" w:left="1559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С.П.Маненков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января 2026 года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вносимые в раздел 4 Паспорта муниципальной программы Белоярского района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«Управление муниципальными финансами в Белоярском районе»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«4. Финансовое обеспечение муниципальной программы</w:t>
      </w:r>
      <w:r>
        <w:rPr>
          <w:color w:val="000000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44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18"/>
        <w:gridCol w:w="4954"/>
        <w:gridCol w:w="1241"/>
        <w:gridCol w:w="1241"/>
        <w:gridCol w:w="1241"/>
        <w:gridCol w:w="1241"/>
        <w:gridCol w:w="1241"/>
        <w:gridCol w:w="1241"/>
        <w:gridCol w:w="1420"/>
      </w:tblGrid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95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7"/>
            <w:shd w:val="clear" w:color="auto" w:fill="auto"/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single" w:color="auto" w:sz="2" w:space="0"/>
            </w:tcBorders>
            <w:tcW w:w="886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61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495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«Управление муниципальными финансами в Белоярском районе» (всего), в том числе: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446 310,5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397 327,0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362 123,3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495 759,0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326 597,6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326 597,6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2 354 714,9</w:t>
            </w:r>
            <w:r/>
            <w:r/>
          </w:p>
        </w:tc>
      </w:tr>
      <w:tr>
        <w:tblPrEx/>
        <w:trPr>
          <w:trHeight w:val="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4 751,7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6 456,5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7 229,8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46 249,8</w:t>
            </w:r>
            <w:r/>
            <w:r/>
          </w:p>
        </w:tc>
      </w:tr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202 428,3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115 104,6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113 183,3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113 721,2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113 721,2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113 721,2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771 879,8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239 130,5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275 765,9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241 710,2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372 767,2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203 605,8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203 605,8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1 523 265,6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15 625,0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15 625,0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15 625,0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15 625,0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15 625,0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15 625,0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93 750,0</w:t>
            </w:r>
            <w:r/>
            <w:r/>
          </w:p>
        </w:tc>
      </w:tr>
      <w:tr>
        <w:tblPrEx/>
        <w:trPr>
          <w:trHeight w:val="4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"Развитие экосистемы поддержки гражданских инициатив"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44 399,0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44 399,0</w:t>
            </w:r>
            <w:r/>
            <w:r/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31 079,3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31 079,3</w:t>
            </w:r>
            <w:r/>
            <w:r/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13 319,7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13 319,7</w:t>
            </w:r>
            <w:r/>
            <w:r/>
          </w:p>
        </w:tc>
      </w:tr>
      <w:tr>
        <w:tblPrEx/>
        <w:trPr>
          <w:trHeight w:val="5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"Инициативный проект «Торум Хары» / «Под открытым небом». Благоустройство этнокультурного парка «Ай Курт» в сельском поселении Сосновка, 3 этап"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13 995,2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13 995,2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 - 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9 796,6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9 796,6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4 198,6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4 198,6</w:t>
            </w:r>
            <w:r/>
            <w:r/>
          </w:p>
        </w:tc>
      </w:tr>
      <w:tr>
        <w:tblPrEx/>
        <w:trPr>
          <w:trHeight w:val="3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1.2.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"Благоустройство общественной территории «Двор мечты - 2 этап"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8 186,3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8 186,3</w:t>
            </w: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 - 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5 730,4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5 730,4</w:t>
            </w:r>
            <w:r/>
            <w:r/>
          </w:p>
        </w:tc>
      </w:tr>
      <w:tr>
        <w:tblPrEx/>
        <w:trPr>
          <w:trHeight w:val="1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2 455,9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2 455,9</w:t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1.3.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"Ресурс-трек "Траектория гения»: создание креативного пространства возле ресурсного центра"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2 533,3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2 533,3</w:t>
            </w:r>
            <w:r/>
            <w:r/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 - 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1 773,3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1 773,3</w:t>
            </w:r>
            <w:r/>
            <w:r/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760,0</w:t>
            </w:r>
            <w:r/>
            <w:r/>
          </w:p>
        </w:tc>
      </w:tr>
      <w:tr>
        <w:tblPrEx/>
        <w:trPr>
          <w:trHeight w:val="3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1.4.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"«Благоустройство центральной площадки в с.Казым. Площадь перед школой «Омащ хар», 2 этап»"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14 151,4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14 151,4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 - Югры</w:t>
              <w:br/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9 906,0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9 906,0</w:t>
            </w:r>
            <w:r/>
            <w:r/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4 245,4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4 245,4</w:t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1.5.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"Обустройство многофункциональной парковой зоны сельского поселения Лыхма «ПАРК «СЕМЕЙНЫЙ» - 5 этап"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5 532,8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5 532,8</w:t>
            </w: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 - 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3 873,0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3 873,0</w:t>
            </w:r>
            <w:r/>
            <w:r/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1 659,8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1 659,8</w:t>
            </w:r>
            <w:r/>
            <w:r/>
          </w:p>
        </w:tc>
      </w:tr>
      <w:tr>
        <w:tblPrEx/>
        <w:trPr>
          <w:trHeight w:val="7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"Эффективное управление резервными средствами и муниципальным долгом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15 852,1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54 248,8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48 091,3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169 912,9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289 608,1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15 852,1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54 248,8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48 091,3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169 912,9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289 608,1</w:t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"Управление резервными средствами бюджета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15 612,3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54 019,3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47 848,2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169 661,4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288 141,2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15 612,3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54 019,3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47 848,2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169 661,4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288 141,2</w:t>
            </w:r>
            <w:r/>
            <w:r/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"Обслуживание муниципального долга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239,8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229,5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243,1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1 466,9</w:t>
            </w:r>
            <w:r/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239,8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229,5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243,1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251,5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1 466,9</w:t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2.3.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"Планирование ассигнований на погашение долговых обязательств Белоярского района" &lt;*&gt;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533 236,5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553 380,7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599 018,2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685 379,1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685 379,1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685 379,1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3 741 772,7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533 236,5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553 380,7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599 018,2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685 379,1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685 379,1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685 379,1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3 741 772,7</w:t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"Повышение прозрачности и информационной доступности бюджета и бюджетного процесса"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"Повышение финансовой грамотности на территории Белоярского района" 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260,0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1 560,0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260,0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1 560,0</w:t>
            </w:r>
            <w:r/>
            <w:r/>
          </w:p>
        </w:tc>
      </w:tr>
      <w:tr>
        <w:tblPrEx/>
        <w:trPr>
          <w:trHeight w:val="6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"Финансовая поддержка некоммерческих организаций на реализацию мероприятий, направленных на повышение финансовой грамотности на территории Белоярского района 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260,0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1 560,0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260,0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1 560,0</w:t>
            </w:r>
            <w:r/>
            <w:r/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"Обеспечение деятельности казенного учреждения, осуществляющего полномочия по ведению централизованного бухгалтерского учета и отчетности"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30 591,4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39 069,5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37 862,9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37 884,5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37 884,5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37 884,5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221 177,3</w:t>
            </w:r>
            <w:r/>
            <w:r/>
          </w:p>
        </w:tc>
      </w:tr>
      <w:tr>
        <w:tblPrEx/>
        <w:trPr>
          <w:trHeight w:val="1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30 591,4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39 069,5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37 862,9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37 884,5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37 884,5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37 884,5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221 177,3</w:t>
            </w:r>
            <w:r/>
            <w:r/>
          </w:p>
        </w:tc>
      </w:tr>
      <w:tr>
        <w:tblPrEx/>
        <w:trPr>
          <w:trHeight w:val="5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71 340,1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75 870,0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454 975,6</w:t>
            </w:r>
            <w:r/>
            <w:r/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71 340,1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75 870,0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454 975,6</w:t>
            </w:r>
            <w:r/>
            <w:r/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"Обеспечение выполнения функций управления муниципальными финансами 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71 340,1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75 870,0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454 975,6</w:t>
            </w:r>
            <w:r/>
            <w:r/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71 340,1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75 870,0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76 938,5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454 975,6</w:t>
            </w:r>
            <w:r/>
            <w:r/>
          </w:p>
        </w:tc>
      </w:tr>
      <w:tr>
        <w:tblPrEx/>
        <w:trPr>
          <w:trHeight w:val="6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"Финансовое обеспечение осуществления органами местного самоуправления поселений в границах Белоярского района переданных полномочий 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66 179,1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7 970,3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7 263,7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9 304,5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9 304,5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9 304,5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109 326,6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4 751,7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6 456,5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7 229,8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46 249,8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61 085,5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61 255,0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341,9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1 479,9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1 821,8</w:t>
            </w:r>
            <w:r/>
            <w:r/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341,9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1 479,9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1 821,8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341,9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1 479,9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1 821,8</w:t>
            </w:r>
            <w:r/>
            <w:r/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7.2.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61 050,0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61 050,0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61 050,0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61 050,0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7.3.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"Предоставление межбюджетных трансфертов в форме субвенций на осуществление отдельных государственных полномочий"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4 787,2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6 490,4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7 263,7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9 304,5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9 304,5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9 304,5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46 454,8</w:t>
            </w:r>
            <w:r/>
            <w:r/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4 751,7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6 456,5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7 229,8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9 270,6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46 249,8</w:t>
            </w:r>
            <w:r/>
            <w:r/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35,5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33,9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205,0</w:t>
            </w:r>
            <w:r/>
            <w:r/>
          </w:p>
        </w:tc>
      </w:tr>
      <w:tr>
        <w:tblPrEx/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"Выравнивание бюджетной обеспеченности  и обеспечение сбалансированности бюджетов поселений в границах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215 058,8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218 838,4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192 775,4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201 448,6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201 448,6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201 448,6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1 231 018,4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110 263,5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115 070,7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113 149,4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113 687,3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113 687,3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113 687,3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679 545,5</w:t>
            </w:r>
            <w:r/>
            <w:r/>
          </w:p>
        </w:tc>
      </w:tr>
      <w:tr>
        <w:tblPrEx/>
        <w:trPr>
          <w:trHeight w:val="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104 795,3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103 767,7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79 626,0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87 761,3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87 761,3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87 761,3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551 472,9</w:t>
            </w:r>
            <w:r/>
            <w:r/>
          </w:p>
        </w:tc>
      </w:tr>
      <w:tr>
        <w:tblPrEx/>
        <w:trPr>
          <w:trHeight w:val="4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"Выравнивание финансовых возможностей и содействие сбалансированности местных бюджетов"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134 448,1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135 254,7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133 539,4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135 317,3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135 317,3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135 317,3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809 194,1</w:t>
            </w:r>
            <w:r/>
            <w:r/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110 263,5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115 070,7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113 149,4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113 687,3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113 687,3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113 687,3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679 545,5</w:t>
            </w:r>
            <w:r/>
            <w:r/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24 184,6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20 184,0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20 390,0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21 630,0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21 630,0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21 630,0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129 648,6</w:t>
            </w:r>
            <w:r/>
            <w:r/>
          </w:p>
        </w:tc>
      </w:tr>
      <w:tr>
        <w:tblPrEx/>
        <w:trPr>
          <w:trHeight w:val="4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8.2.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Обеспечение сбалансированности бюджетов поселений в границах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80 610,7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83 583,7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59 236,0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66 131,3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66 131,3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66 131,3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421 824,3</w:t>
            </w:r>
            <w:r/>
            <w:r/>
          </w:p>
        </w:tc>
      </w:tr>
      <w:tr>
        <w:tblPrEx/>
        <w:trPr>
          <w:trHeight w:val="23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80 610,7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83 583,7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59 236,0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66 131,3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66 131,3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66 131,3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421 824,3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2 650,0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2 650,0</w:t>
            </w:r>
            <w:r/>
            <w:r/>
          </w:p>
        </w:tc>
      </w:tr>
      <w:tr>
        <w:tblPrEx/>
        <w:trPr>
          <w:trHeight w:val="9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2 450,0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2 450,0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2 450,0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9.2.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"Предоставление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оценок"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200,0</w:t>
            </w:r>
            <w:r/>
            <w:r/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200,0</w:t>
            </w:r>
            <w:r/>
            <w:r/>
          </w:p>
        </w:tc>
      </w:tr>
      <w:tr>
        <w:tblPrEx/>
        <w:trPr>
          <w:trHeight w:val="58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40" w:type="dxa"/>
            <w:textDirection w:val="lrTb"/>
            <w:noWrap w:val="false"/>
          </w:tcPr>
          <w:p>
            <w:pPr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&lt;*&gt; бюджетные ассигнования отражены в источниках 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  <w:r>
              <w:rPr>
                <w:sz w:val="18"/>
                <w:szCs w:val="18"/>
                <w:lang w:eastAsia="zh-CN" w:bidi="ar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».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160" w:line="259" w:lineRule="auto"/>
      </w:pPr>
      <w:r/>
      <w:r/>
    </w:p>
    <w:p>
      <w:pPr>
        <w:jc w:val="center"/>
        <w:spacing w:after="160" w:line="259" w:lineRule="auto"/>
      </w:pPr>
      <w:r>
        <w:t xml:space="preserve">________________</w:t>
      </w:r>
      <w:r/>
    </w:p>
    <w:sectPr>
      <w:headerReference w:type="default" r:id="rId10"/>
      <w:headerReference w:type="first" r:id="rId11"/>
      <w:footnotePr/>
      <w:endnotePr/>
      <w:type w:val="nextPage"/>
      <w:pgSz w:w="16838" w:h="11905" w:orient="landscape"/>
      <w:pgMar w:top="992" w:right="1134" w:bottom="850" w:left="1134" w:header="18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75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15">
    <w:name w:val="Heading 1"/>
    <w:basedOn w:val="714"/>
    <w:next w:val="714"/>
    <w:link w:val="908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716">
    <w:name w:val="Heading 2"/>
    <w:basedOn w:val="714"/>
    <w:next w:val="714"/>
    <w:link w:val="909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717">
    <w:name w:val="Heading 3"/>
    <w:basedOn w:val="714"/>
    <w:next w:val="714"/>
    <w:link w:val="910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paragraph" w:styleId="718">
    <w:name w:val="Heading 4"/>
    <w:basedOn w:val="714"/>
    <w:next w:val="714"/>
    <w:link w:val="74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4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4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4"/>
    <w:uiPriority w:val="10"/>
    <w:rPr>
      <w:sz w:val="48"/>
      <w:szCs w:val="48"/>
    </w:rPr>
  </w:style>
  <w:style w:type="character" w:styleId="734" w:customStyle="1">
    <w:name w:val="Subtitle Char"/>
    <w:basedOn w:val="724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Caption Char"/>
    <w:basedOn w:val="724"/>
    <w:uiPriority w:val="35"/>
    <w:rPr>
      <w:b/>
      <w:bCs/>
      <w:color w:val="4f81bd" w:themeColor="accent1"/>
      <w:sz w:val="18"/>
      <w:szCs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4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/>
    </w:rPr>
  </w:style>
  <w:style w:type="paragraph" w:styleId="749">
    <w:name w:val="No Spacing"/>
    <w:uiPriority w:val="1"/>
    <w:qFormat/>
  </w:style>
  <w:style w:type="paragraph" w:styleId="750">
    <w:name w:val="Title"/>
    <w:basedOn w:val="714"/>
    <w:next w:val="714"/>
    <w:link w:val="751"/>
    <w:uiPriority w:val="10"/>
    <w:qFormat/>
    <w:pPr>
      <w:contextualSpacing/>
      <w:spacing w:before="300"/>
    </w:pPr>
    <w:rPr>
      <w:sz w:val="48"/>
      <w:szCs w:val="48"/>
    </w:rPr>
  </w:style>
  <w:style w:type="character" w:styleId="751" w:customStyle="1">
    <w:name w:val="Заголовок Знак"/>
    <w:link w:val="750"/>
    <w:uiPriority w:val="10"/>
    <w:rPr>
      <w:sz w:val="48"/>
      <w:szCs w:val="48"/>
    </w:rPr>
  </w:style>
  <w:style w:type="paragraph" w:styleId="752">
    <w:name w:val="Subtitle"/>
    <w:basedOn w:val="714"/>
    <w:next w:val="714"/>
    <w:link w:val="753"/>
    <w:uiPriority w:val="11"/>
    <w:qFormat/>
    <w:pPr>
      <w:spacing w:before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4"/>
    <w:next w:val="71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4"/>
    <w:next w:val="71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4"/>
    <w:link w:val="9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14"/>
    <w:link w:val="9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14"/>
    <w:next w:val="714"/>
    <w:link w:val="76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3" w:customStyle="1">
    <w:name w:val="Название объекта Знак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"/>
    <w:basedOn w:val="725"/>
    <w:uiPriority w:val="59"/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rPr>
      <w:color w:val="0000ff"/>
      <w:u w:val="single"/>
    </w:rPr>
  </w:style>
  <w:style w:type="paragraph" w:styleId="891">
    <w:name w:val="footnote text"/>
    <w:basedOn w:val="714"/>
    <w:link w:val="921"/>
    <w:uiPriority w:val="99"/>
    <w:unhideWhenUsed/>
    <w:rPr>
      <w:sz w:val="20"/>
      <w:szCs w:val="20"/>
    </w:rPr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14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14"/>
    <w:next w:val="714"/>
    <w:uiPriority w:val="39"/>
    <w:unhideWhenUsed/>
    <w:pPr>
      <w:spacing w:after="57"/>
    </w:pPr>
  </w:style>
  <w:style w:type="paragraph" w:styleId="898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9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00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01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02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3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4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5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4"/>
    <w:next w:val="714"/>
    <w:uiPriority w:val="99"/>
    <w:unhideWhenUsed/>
    <w:pPr>
      <w:spacing w:after="0"/>
    </w:pPr>
  </w:style>
  <w:style w:type="character" w:styleId="908" w:customStyle="1">
    <w:name w:val="Заголовок 1 Знак"/>
    <w:link w:val="715"/>
    <w:rPr>
      <w:b/>
      <w:bCs/>
      <w:sz w:val="28"/>
      <w:szCs w:val="28"/>
      <w:lang w:val="ru-RU" w:eastAsia="ru-RU" w:bidi="ar-SA"/>
    </w:rPr>
  </w:style>
  <w:style w:type="character" w:styleId="909" w:customStyle="1">
    <w:name w:val="Заголовок 2 Знак"/>
    <w:link w:val="716"/>
    <w:semiHidden/>
    <w:rPr>
      <w:b/>
      <w:bCs/>
      <w:sz w:val="24"/>
      <w:szCs w:val="24"/>
      <w:lang w:val="ru-RU" w:eastAsia="ru-RU" w:bidi="ar-SA"/>
    </w:rPr>
  </w:style>
  <w:style w:type="character" w:styleId="910" w:customStyle="1">
    <w:name w:val="Заголовок 3 Знак"/>
    <w:link w:val="717"/>
    <w:semiHidden/>
    <w:rPr>
      <w:sz w:val="28"/>
      <w:szCs w:val="28"/>
      <w:lang w:val="ru-RU" w:eastAsia="ru-RU" w:bidi="ar-SA"/>
    </w:rPr>
  </w:style>
  <w:style w:type="character" w:styleId="911">
    <w:name w:val="FollowedHyperlink"/>
    <w:uiPriority w:val="99"/>
    <w:unhideWhenUsed/>
    <w:rPr>
      <w:color w:val="800080"/>
      <w:u w:val="single"/>
    </w:rPr>
  </w:style>
  <w:style w:type="character" w:styleId="912">
    <w:name w:val="annotation reference"/>
    <w:uiPriority w:val="99"/>
    <w:rPr>
      <w:sz w:val="16"/>
      <w:szCs w:val="16"/>
    </w:rPr>
  </w:style>
  <w:style w:type="paragraph" w:styleId="913">
    <w:name w:val="Balloon Text"/>
    <w:basedOn w:val="714"/>
    <w:link w:val="914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5">
    <w:name w:val="Body Text Indent 3"/>
    <w:basedOn w:val="714"/>
    <w:link w:val="916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916" w:customStyle="1">
    <w:name w:val="Основной текст с отступом 3 Знак"/>
    <w:link w:val="915"/>
    <w:rPr>
      <w:rFonts w:eastAsia="Calibri"/>
      <w:sz w:val="24"/>
      <w:szCs w:val="24"/>
      <w:lang w:val="ru-RU" w:eastAsia="ru-RU" w:bidi="ar-SA"/>
    </w:rPr>
  </w:style>
  <w:style w:type="paragraph" w:styleId="917">
    <w:name w:val="annotation text"/>
    <w:basedOn w:val="714"/>
    <w:link w:val="918"/>
    <w:pPr>
      <w:spacing w:after="0" w:line="240" w:lineRule="auto"/>
    </w:pPr>
    <w:rPr>
      <w:rFonts w:eastAsia="Times New Roman"/>
      <w:sz w:val="20"/>
      <w:szCs w:val="20"/>
    </w:rPr>
  </w:style>
  <w:style w:type="character" w:styleId="918" w:customStyle="1">
    <w:name w:val="Текст примечания Знак"/>
    <w:link w:val="917"/>
    <w:rPr>
      <w:rFonts w:ascii="Times New Roman" w:hAnsi="Times New Roman" w:eastAsia="Times New Roman"/>
    </w:rPr>
  </w:style>
  <w:style w:type="paragraph" w:styleId="919">
    <w:name w:val="annotation subject"/>
    <w:basedOn w:val="917"/>
    <w:next w:val="917"/>
    <w:link w:val="920"/>
    <w:uiPriority w:val="99"/>
    <w:unhideWhenUsed/>
    <w:pPr>
      <w:spacing w:after="200" w:line="276" w:lineRule="auto"/>
    </w:pPr>
    <w:rPr>
      <w:b/>
      <w:bCs/>
    </w:rPr>
  </w:style>
  <w:style w:type="character" w:styleId="920" w:customStyle="1">
    <w:name w:val="Тема примечания Знак"/>
    <w:link w:val="919"/>
    <w:uiPriority w:val="99"/>
    <w:semiHidden/>
    <w:rPr>
      <w:rFonts w:ascii="Times New Roman" w:hAnsi="Times New Roman" w:eastAsia="Times New Roman"/>
      <w:b/>
      <w:bCs/>
      <w:lang w:eastAsia="en-US"/>
    </w:rPr>
  </w:style>
  <w:style w:type="character" w:styleId="921" w:customStyle="1">
    <w:name w:val="Текст сноски Знак"/>
    <w:link w:val="891"/>
    <w:uiPriority w:val="99"/>
    <w:semiHidden/>
    <w:rPr>
      <w:lang w:eastAsia="en-US"/>
    </w:rPr>
  </w:style>
  <w:style w:type="character" w:styleId="922" w:customStyle="1">
    <w:name w:val="Верхний колонтитул Знак"/>
    <w:link w:val="758"/>
    <w:uiPriority w:val="99"/>
    <w:rPr>
      <w:sz w:val="22"/>
      <w:szCs w:val="22"/>
      <w:lang w:eastAsia="en-US"/>
    </w:rPr>
  </w:style>
  <w:style w:type="character" w:styleId="923" w:customStyle="1">
    <w:name w:val="Нижний колонтитул Знак"/>
    <w:link w:val="760"/>
    <w:uiPriority w:val="99"/>
    <w:rPr>
      <w:sz w:val="22"/>
      <w:szCs w:val="22"/>
      <w:lang w:eastAsia="en-US"/>
    </w:rPr>
  </w:style>
  <w:style w:type="paragraph" w:styleId="924">
    <w:name w:val="Normal (Web)"/>
    <w:basedOn w:val="714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25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26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27" w:customStyle="1">
    <w:name w:val="ConsPlusTitle"/>
    <w:pPr>
      <w:widowControl w:val="off"/>
    </w:pPr>
    <w:rPr>
      <w:rFonts w:eastAsia="Times New Roman" w:cs="Calibri"/>
      <w:b/>
      <w:bCs/>
      <w:sz w:val="22"/>
      <w:szCs w:val="22"/>
      <w:lang w:eastAsia="ru-RU"/>
    </w:rPr>
  </w:style>
  <w:style w:type="paragraph" w:styleId="928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paragraph" w:styleId="929" w:customStyle="1">
    <w:name w:val="ConsPlusDocLis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30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931" w:customStyle="1">
    <w:name w:val="ConsPlusJurTerm"/>
    <w:pPr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932" w:customStyle="1">
    <w:name w:val="ConsPlusTextList"/>
    <w:pPr>
      <w:widowControl w:val="off"/>
    </w:pPr>
    <w:rPr>
      <w:rFonts w:ascii="Arial" w:hAnsi="Arial" w:eastAsia="Times New Roman" w:cs="Arial"/>
      <w:lang w:eastAsia="ru-RU"/>
    </w:rPr>
  </w:style>
  <w:style w:type="character" w:styleId="933" w:customStyle="1">
    <w:name w:val="font6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  <w:style w:type="character" w:styleId="934" w:customStyle="1">
    <w:name w:val="font5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NachSvBudPlan</cp:lastModifiedBy>
  <cp:revision>4</cp:revision>
  <dcterms:created xsi:type="dcterms:W3CDTF">2025-12-19T10:16:00Z</dcterms:created>
  <dcterms:modified xsi:type="dcterms:W3CDTF">2026-01-19T11:38:28Z</dcterms:modified>
  <cp:version>1048576</cp:version>
</cp:coreProperties>
</file>