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66"/>
          <w:rFonts w:ascii="Times New Roman" w:hAnsi="Times New Roman"/>
          <w:sz w:val="24"/>
          <w:szCs w:val="24"/>
        </w:rPr>
        <w:t xml:space="preserve">https://regulation.admhmao.ru/</w:t>
      </w:r>
      <w:r>
        <w:rPr>
          <w:rStyle w:val="866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Style w:val="86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/>
        </w:trPr>
        <w:tc>
          <w:tcPr>
            <w:shd w:val="clear" w:color="auto" w:fill="d9d9d9"/>
            <w:tcW w:w="9344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Настоящим у</w:t>
            </w:r>
            <w:r>
              <w:rPr>
                <w:rFonts w:hint="default" w:ascii="Times New Roman" w:hAnsi="Times New Roman" w:eastAsia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eastAsia="Times New Roman" w:cs="Times New Roman"/>
                <w:b w:val="0"/>
                <w:sz w:val="22"/>
                <w:szCs w:val="22"/>
              </w:rPr>
              <w:t xml:space="preserve">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го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района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 внесении изменений в приложение к 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от  29  февраля 2024 года № 150»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firstLine="480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/>
        </w:trPr>
        <w:tc>
          <w:tcPr>
            <w:shd w:val="pct5" w:color="auto" w:fill="auto"/>
            <w:tcW w:w="9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администрации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19.11.2025</w:t>
            </w:r>
            <w:r>
              <w:rPr>
                <w:rFonts w:ascii="Times New Roman" w:hAnsi="Times New Roman"/>
                <w:lang w:eastAsia="ru-RU"/>
              </w:rPr>
              <w:t xml:space="preserve"> - 02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.1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2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</w:t>
            </w:r>
            <w:bookmarkStart w:id="0" w:name="_GoBack"/>
            <w:r/>
            <w:bookmarkEnd w:id="0"/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hint="default" w:ascii="Times New Roman" w:hAnsi="Times New Roman"/>
                <w:lang w:val="en-US" w:eastAsia="ru-RU"/>
              </w:rPr>
            </w:r>
            <w:r>
              <w:rPr>
                <w:rFonts w:hint="default" w:ascii="Times New Roman" w:hAnsi="Times New Roman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 xml:space="preserve">: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ascii="Times New Roman" w:hAnsi="Times New Roman"/>
                <w:lang w:eastAsia="ru-RU"/>
              </w:rPr>
              <w:t xml:space="preserve">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консультант 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 </w:t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4-14-61</w:t>
            </w:r>
            <w:r>
              <w:rPr>
                <w:rFonts w:ascii="Times New Roman" w:hAnsi="Times New Roman" w:eastAsiaTheme="minorEastAsia"/>
                <w:lang w:eastAsia="ru-RU"/>
              </w:rPr>
            </w:r>
            <w:r>
              <w:rPr>
                <w:rFonts w:ascii="Times New Roman" w:hAnsi="Times New Roman" w:eastAsiaTheme="minorEastAsia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34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/>
              <w:tabs>
                <w:tab w:val="left" w:pos="567" w:leader="none"/>
              </w:tabs>
              <w:rPr>
                <w:rFonts w:ascii="Times New Roman" w:hAnsi="Times New Roman" w:cs="Times New Roman"/>
                <w:b w:val="0"/>
                <w:bCs w:val="0"/>
              </w:rPr>
              <w:suppressLineNumbers w:val="0"/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   Изменения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Порядок   предоставления   из  бюджета   Белоярского  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субсидий юридическим лицам (за исключением государственных (муниципальных) учреждени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й), индивидуальным предпринимателям, физическим лицам на поддержку животноводства, утвержденным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постановлением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от 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февраля 2024 года № 150 «О предоставлении субсидий на поддержку животноводства» (далее - Порядок)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,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 внесены в связи с приведением Порядка в  соответствие с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п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остановлением Правительства Российской Федерации от 25 октября 2023 года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ж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ий».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  <w:p>
            <w:pPr>
              <w:ind w:firstLine="330"/>
              <w:jc w:val="both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 xml:space="preserve">Перечень вопросов: на опросном листе.</w:t>
            </w:r>
            <w:r>
              <w:rPr>
                <w:rFonts w:hint="default" w:ascii="Times New Roman" w:hAnsi="Times New Roman" w:cs="Times New Roman"/>
                <w:lang w:eastAsia="ru-RU"/>
              </w:rPr>
            </w:r>
            <w:r>
              <w:rPr>
                <w:rFonts w:hint="default" w:ascii="Times New Roman" w:hAnsi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0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1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3"/>
    <w:link w:val="862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9"/>
    <w:next w:val="859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59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59"/>
    <w:next w:val="85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59"/>
    <w:next w:val="85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59"/>
    <w:next w:val="859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9"/>
    <w:next w:val="859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1"/>
    <w:uiPriority w:val="99"/>
  </w:style>
  <w:style w:type="character" w:styleId="716">
    <w:name w:val="Footer Char"/>
    <w:basedOn w:val="863"/>
    <w:link w:val="872"/>
    <w:uiPriority w:val="99"/>
  </w:style>
  <w:style w:type="paragraph" w:styleId="717">
    <w:name w:val="Caption"/>
    <w:basedOn w:val="859"/>
    <w:next w:val="859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Footnote Text Char"/>
    <w:link w:val="870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3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uiPriority w:val="0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860">
    <w:name w:val="Heading 1"/>
    <w:basedOn w:val="859"/>
    <w:next w:val="859"/>
    <w:link w:val="874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1">
    <w:name w:val="Heading 2"/>
    <w:basedOn w:val="859"/>
    <w:next w:val="859"/>
    <w:link w:val="875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2">
    <w:name w:val="Heading 3"/>
    <w:basedOn w:val="859"/>
    <w:next w:val="859"/>
    <w:link w:val="876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3" w:default="1">
    <w:name w:val="Default Paragraph Font"/>
    <w:uiPriority w:val="1"/>
    <w:semiHidden/>
    <w:unhideWhenUsed/>
    <w:qFormat/>
  </w:style>
  <w:style w:type="table" w:styleId="86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5">
    <w:name w:val="footnote reference"/>
    <w:uiPriority w:val="99"/>
    <w:qFormat/>
    <w:rPr>
      <w:rFonts w:cs="Times New Roman"/>
      <w:vertAlign w:val="superscript"/>
    </w:rPr>
  </w:style>
  <w:style w:type="character" w:styleId="866">
    <w:name w:val="Hyperlink"/>
    <w:uiPriority w:val="99"/>
    <w:qFormat/>
    <w:rPr>
      <w:rFonts w:cs="Times New Roman"/>
      <w:color w:val="0000ff"/>
      <w:u w:val="single"/>
    </w:rPr>
  </w:style>
  <w:style w:type="character" w:styleId="867">
    <w:name w:val="page number"/>
    <w:uiPriority w:val="99"/>
    <w:qFormat/>
    <w:rPr>
      <w:rFonts w:cs="Times New Roman"/>
    </w:rPr>
  </w:style>
  <w:style w:type="paragraph" w:styleId="868">
    <w:name w:val="Balloon Text"/>
    <w:basedOn w:val="859"/>
    <w:link w:val="878"/>
    <w:uiPriority w:val="99"/>
    <w:semiHidden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869">
    <w:name w:val="Body Text Indent 3"/>
    <w:basedOn w:val="859"/>
    <w:link w:val="87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70">
    <w:name w:val="footnote text"/>
    <w:basedOn w:val="859"/>
    <w:link w:val="883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1">
    <w:name w:val="Header"/>
    <w:basedOn w:val="859"/>
    <w:link w:val="882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2">
    <w:name w:val="Footer"/>
    <w:basedOn w:val="859"/>
    <w:link w:val="881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873">
    <w:name w:val="Table Grid"/>
    <w:basedOn w:val="864"/>
    <w:uiPriority w:val="99"/>
    <w:qFormat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4" w:customStyle="1">
    <w:name w:val="Заголовок 1 Знак"/>
    <w:link w:val="860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875" w:customStyle="1">
    <w:name w:val="Заголовок 2 Знак"/>
    <w:link w:val="861"/>
    <w:uiPriority w:val="99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76" w:customStyle="1">
    <w:name w:val="Заголовок 3 Знак"/>
    <w:link w:val="86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Основной текст с отступом 3 Знак"/>
    <w:link w:val="869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8" w:customStyle="1">
    <w:name w:val="Текст выноски Знак"/>
    <w:link w:val="868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879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0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81" w:customStyle="1">
    <w:name w:val="Нижний колонтитул Знак"/>
    <w:link w:val="87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2" w:customStyle="1">
    <w:name w:val="Верхний колонтитул Знак"/>
    <w:link w:val="87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Текст сноски Знак"/>
    <w:link w:val="87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StrukovskayaLU</cp:lastModifiedBy>
  <cp:revision>24</cp:revision>
  <dcterms:created xsi:type="dcterms:W3CDTF">2021-06-07T08:52:00Z</dcterms:created>
  <dcterms:modified xsi:type="dcterms:W3CDTF">2025-11-19T09:49:34Z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7F122823A16A463BBE0DD339559FA7E8_13</vt:lpwstr>
  </property>
</Properties>
</file>