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51"/>
        <w:rPr>
          <w:sz w:val="28"/>
          <w:szCs w:val="28"/>
        </w:rPr>
      </w:pPr>
      <w:r>
        <w:rPr>
          <w:sz w:val="22"/>
          <w:szCs w:val="22"/>
        </w:rPr>
        <w:t xml:space="preserve">ХАНТЫ-МАНСИЙСКИЙ АВТОНОМНЫЙ ОКРУГ - ЮГРА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1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0"/>
        <w:rPr>
          <w:sz w:val="22"/>
          <w:szCs w:val="22"/>
        </w:rPr>
      </w:pPr>
      <w:r>
        <w:rPr>
          <w:szCs w:val="28"/>
        </w:rPr>
        <w:t xml:space="preserve">ПОСТАНОВЛЕНИЕ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9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ind w:left="-360" w:right="-142" w:firstLine="218"/>
        <w:rPr>
          <w:szCs w:val="24"/>
        </w:rPr>
      </w:pPr>
      <w:r>
        <w:rPr>
          <w:szCs w:val="24"/>
        </w:rPr>
        <w:t xml:space="preserve">от 5 декабря 2024</w:t>
      </w:r>
      <w:r>
        <w:rPr>
          <w:szCs w:val="24"/>
        </w:rPr>
        <w:t xml:space="preserve"> года      </w:t>
        <w:tab/>
        <w:t xml:space="preserve">      </w:t>
        <w:tab/>
        <w:tab/>
        <w:t xml:space="preserve">      </w:t>
        <w:tab/>
        <w:tab/>
        <w:tab/>
        <w:t xml:space="preserve">  </w:t>
      </w:r>
      <w:r>
        <w:rPr>
          <w:szCs w:val="24"/>
        </w:rPr>
        <w:t xml:space="preserve">                        </w:t>
      </w:r>
      <w:r>
        <w:rPr>
          <w:szCs w:val="24"/>
        </w:rPr>
        <w:t xml:space="preserve">        №</w:t>
      </w:r>
      <w:r>
        <w:rPr>
          <w:szCs w:val="24"/>
        </w:rPr>
        <w:t xml:space="preserve"> </w:t>
      </w:r>
      <w:r>
        <w:rPr>
          <w:szCs w:val="24"/>
        </w:rPr>
        <w:t xml:space="preserve">853</w:t>
      </w:r>
      <w:r>
        <w:rPr>
          <w:szCs w:val="24"/>
        </w:rPr>
      </w:r>
      <w:r>
        <w:rPr>
          <w:szCs w:val="24"/>
        </w:rPr>
      </w:r>
    </w:p>
    <w:p>
      <w:pPr>
        <w:pStyle w:val="86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51"/>
      </w:pPr>
      <w:r>
        <w:t xml:space="preserve">Об утверждении муниципальной программы Белоярского района</w:t>
      </w:r>
      <w:r/>
    </w:p>
    <w:p>
      <w:pPr>
        <w:pStyle w:val="851"/>
        <w:rPr>
          <w:bCs/>
        </w:rPr>
      </w:pPr>
      <w:r>
        <w:t xml:space="preserve">«Развитие </w:t>
      </w:r>
      <w:r>
        <w:t xml:space="preserve">социальной политики</w:t>
      </w:r>
      <w:r>
        <w:t xml:space="preserve">»</w:t>
      </w:r>
      <w:r>
        <w:rPr>
          <w:bCs/>
        </w:rPr>
      </w:r>
      <w:r>
        <w:rPr>
          <w:bCs/>
        </w:rPr>
      </w:r>
    </w:p>
    <w:p>
      <w:pPr>
        <w:pStyle w:val="849"/>
        <w:jc w:val="center"/>
        <w:spacing w:after="0" w:afterAutospacing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08 июля 2025 года №451, от 10 декабря 2025 года №819,</w:t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center"/>
        <w:spacing w:after="0" w:afterAutospacing="0"/>
      </w:pPr>
      <w:r>
        <w:rPr>
          <w:rFonts w:ascii="Times New Roman" w:hAnsi="Times New Roman" w:cs="Times New Roman"/>
          <w:i/>
          <w:sz w:val="24"/>
          <w:szCs w:val="24"/>
        </w:rPr>
        <w:t xml:space="preserve"> от 29 декабря 2025 года №920, от 28 января 2026 года №62)</w:t>
      </w:r>
      <w:r/>
    </w:p>
    <w:p>
      <w:pPr>
        <w:pStyle w:val="851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849"/>
        <w:jc w:val="center"/>
      </w:pPr>
      <w:r/>
      <w:r/>
    </w:p>
    <w:p>
      <w:pPr>
        <w:pStyle w:val="851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 соответствии с постановлением администрации Белоярского района </w:t>
      </w:r>
      <w:r>
        <w:rPr>
          <w:b w:val="0"/>
        </w:rPr>
        <w:t xml:space="preserve">                  </w:t>
      </w:r>
      <w:r>
        <w:rPr>
          <w:b w:val="0"/>
        </w:rPr>
        <w:t xml:space="preserve">от 3 сентября 2018 года </w:t>
      </w:r>
      <w:r>
        <w:rPr>
          <w:b w:val="0"/>
        </w:rPr>
        <w:t xml:space="preserve">№</w:t>
      </w:r>
      <w:r>
        <w:rPr>
          <w:b w:val="0"/>
        </w:rPr>
        <w:t xml:space="preserve"> 776 </w:t>
      </w:r>
      <w:r>
        <w:rPr>
          <w:b w:val="0"/>
        </w:rPr>
        <w:t xml:space="preserve">«</w:t>
      </w:r>
      <w:r>
        <w:rPr>
          <w:b w:val="0"/>
        </w:rPr>
        <w:t xml:space="preserve">Об утверждении Порядка принятия решений</w:t>
      </w:r>
      <w:r>
        <w:rPr>
          <w:b w:val="0"/>
        </w:rPr>
        <w:t xml:space="preserve">                        </w:t>
      </w:r>
      <w:r>
        <w:rPr>
          <w:b w:val="0"/>
        </w:rPr>
        <w:t xml:space="preserve"> о разработке, формировании и реализации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, распоряжением администрации Белоярского района от 15 августа 2018 года </w:t>
      </w:r>
      <w:r>
        <w:rPr>
          <w:b w:val="0"/>
        </w:rPr>
        <w:t xml:space="preserve">     №</w:t>
      </w:r>
      <w:r>
        <w:rPr>
          <w:b w:val="0"/>
        </w:rPr>
        <w:t xml:space="preserve"> 245-р </w:t>
      </w:r>
      <w:r>
        <w:rPr>
          <w:b w:val="0"/>
        </w:rPr>
        <w:t xml:space="preserve">«</w:t>
      </w:r>
      <w:r>
        <w:rPr>
          <w:b w:val="0"/>
        </w:rPr>
        <w:t xml:space="preserve">О Перечне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 п о с т а н о в л я ю:</w:t>
      </w:r>
      <w:r>
        <w:rPr>
          <w:b w:val="0"/>
        </w:rPr>
      </w:r>
      <w:r>
        <w:rPr>
          <w:b w:val="0"/>
        </w:rPr>
      </w:r>
    </w:p>
    <w:p>
      <w:pPr>
        <w:pStyle w:val="851"/>
        <w:ind w:firstLine="708"/>
        <w:jc w:val="both"/>
        <w:rPr>
          <w:b w:val="0"/>
        </w:rPr>
      </w:pPr>
      <w:r>
        <w:rPr>
          <w:b w:val="0"/>
        </w:rPr>
        <w:t xml:space="preserve">1. Утвердить прилагаемую муниципальную программу Белоярского района </w:t>
      </w:r>
      <w:r>
        <w:rPr>
          <w:b w:val="0"/>
        </w:rPr>
        <w:t xml:space="preserve">«</w:t>
      </w:r>
      <w:r>
        <w:rPr>
          <w:b w:val="0"/>
        </w:rPr>
        <w:t xml:space="preserve">Развитие социальной политики</w:t>
      </w:r>
      <w:r>
        <w:rPr>
          <w:b w:val="0"/>
        </w:rPr>
        <w:t xml:space="preserve">».</w:t>
      </w:r>
      <w:r>
        <w:rPr>
          <w:b w:val="0"/>
        </w:rPr>
      </w:r>
      <w:r>
        <w:rPr>
          <w:b w:val="0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опубликования, но не ранее 1 января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right="-23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ind w:right="-23"/>
        <w:jc w:val="both"/>
        <w:rPr>
          <w:szCs w:val="24"/>
        </w:rPr>
      </w:pPr>
      <w:r>
        <w:rPr>
          <w:szCs w:val="24"/>
        </w:rPr>
        <w:t xml:space="preserve">Глава Белоярского района </w:t>
        <w:tab/>
        <w:tab/>
        <w:tab/>
        <w:tab/>
        <w:tab/>
        <w:t xml:space="preserve">              </w:t>
      </w:r>
      <w:r>
        <w:rPr>
          <w:szCs w:val="24"/>
        </w:rPr>
        <w:t xml:space="preserve">                  </w:t>
      </w:r>
      <w:r>
        <w:rPr>
          <w:szCs w:val="24"/>
        </w:rPr>
        <w:t xml:space="preserve">  С.П.</w:t>
      </w:r>
      <w:r>
        <w:rPr>
          <w:szCs w:val="24"/>
        </w:rPr>
        <w:t xml:space="preserve">Маненко</w:t>
      </w:r>
      <w:r>
        <w:rPr>
          <w:szCs w:val="24"/>
        </w:rPr>
        <w:t xml:space="preserve">в</w:t>
      </w:r>
      <w:r>
        <w:rPr>
          <w:szCs w:val="24"/>
        </w:rPr>
      </w:r>
      <w:r>
        <w:rPr>
          <w:szCs w:val="24"/>
        </w:rPr>
      </w:r>
    </w:p>
    <w:p>
      <w:pPr>
        <w:pStyle w:val="869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9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440" w:right="991" w:bottom="1134" w:left="1701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49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49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администрации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49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49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5 декабря 2024 года № 853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69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«РАЗВИТИЕ СОЦИАЛЬНОЙ ПОЛИТИКИ»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Развитие социальной политики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9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  <w:r>
        <w:rPr>
          <w:szCs w:val="24"/>
        </w:rPr>
      </w:r>
    </w:p>
    <w:p>
      <w:pPr>
        <w:pStyle w:val="869"/>
        <w:ind w:left="720"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Куратор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Ответственный исполнитель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Управление по охране труда и социальной политике администрации Белоярского района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(далее – УОТиСП)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Период реализации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2025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2030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годы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Цель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Укрепление социальной защищенности и повышение качества жизни социальных групп Белоярского района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Направления (подпрограммы)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«Реализация мероприятий социальной политики на территории Белоярского района»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2. «Поддержка социально ориентированных некоммерческих организаций».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196 768,0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ысяч рублей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Сохранение населения, укрепление здоровья и повышение благ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ополучия людей, поддержка семьи: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1.1.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показатель «у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величение ожидаемой продолжительности жизни до 78 лет к 203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0 году 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до 81 года к 2036 году».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2. Государственная программа Ханты-Мансийского автономного округа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Югры «Социальное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и демографическое развитие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Ханты-Мансийского автономного округа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Югры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».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</w:tbl>
    <w:p>
      <w:pPr>
        <w:pStyle w:val="849"/>
        <w:numPr>
          <w:ilvl w:val="0"/>
          <w:numId w:val="1"/>
        </w:numPr>
        <w:jc w:val="center"/>
        <w:pageBreakBefore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Показатели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9"/>
        <w:ind w:left="72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5168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2097"/>
        <w:gridCol w:w="1172"/>
        <w:gridCol w:w="907"/>
        <w:gridCol w:w="688"/>
        <w:gridCol w:w="688"/>
        <w:gridCol w:w="688"/>
        <w:gridCol w:w="689"/>
        <w:gridCol w:w="576"/>
        <w:gridCol w:w="576"/>
        <w:gridCol w:w="567"/>
        <w:gridCol w:w="9"/>
        <w:gridCol w:w="3108"/>
        <w:gridCol w:w="1402"/>
        <w:gridCol w:w="9"/>
        <w:gridCol w:w="1424"/>
      </w:tblGrid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 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Единица измерения (по ОКЕИ)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5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RANGE!D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Базовое значение</w:t>
            </w:r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784" w:type="dxa"/>
            <w:vAlign w:val="center"/>
            <w:textDirection w:val="lrTb"/>
            <w:noWrap w:val="false"/>
          </w:tcPr>
          <w:p>
            <w:pPr>
              <w:pStyle w:val="849"/>
              <w:ind w:right="-53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Значение показателя по годам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1" w:name="RANGE!L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Документ</w:t>
            </w:r>
            <w:bookmarkEnd w:id="1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2" w:name="RANGE!M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Ответственный за достижение показателя</w:t>
            </w:r>
            <w:bookmarkEnd w:id="2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3" w:name="RANGE!N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Связь с показателями национальных целей</w:t>
            </w:r>
            <w:bookmarkEnd w:id="3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vMerge w:val="continue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vMerge w:val="continue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2030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8" w:type="dxa"/>
            <w:vAlign w:val="center"/>
            <w:textDirection w:val="lrTb"/>
            <w:noWrap w:val="false"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Укрепление социальной защищенности и повышение качества жизни соци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альных групп Белоярского района»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47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7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Количество граждан, охваченных мероприятиями, направленными на повышение качества жизни населения Белоярского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человек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08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Решение Думы Белоярского района  от 29  октября 2014 года  № 484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Об утверждении Стратегии социально-экономического развития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Белоярского района до 2036 года»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0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097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Количество социально ориентированных некоммерческих организаций, получивших финансовую поддержку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08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Распоряжение администрации Белоярского района от 14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апреля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2021 года 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99-р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 Плане мероприятий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дорожной карте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 поддержке доступа немуниципальных организаций (коммерческих, некоммерческих)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 предоставлению услуг в социальной сфере в Бело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ярском районе на 2021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2025 годы»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7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Количество социально ориентированных некоммерческих организаций, получивших информационную, консультационную поддержку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08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Распоряжение администрации Белоярского района от 14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апреля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2021 года 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99-р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 Плане мероприятий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дорожной карте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по поддержке доступа немуниципальных организаций (коммерческих, некоммерческих)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 предоставлению услуг в социальной сфере в Бело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ярском районе на 2021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2025 годы»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849"/>
        <w:numPr>
          <w:ilvl w:val="0"/>
          <w:numId w:val="1"/>
        </w:numPr>
        <w:jc w:val="center"/>
        <w:pageBreakBefore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Структура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5168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6"/>
        <w:gridCol w:w="4766"/>
        <w:gridCol w:w="6096"/>
        <w:gridCol w:w="3685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Задачи структурного элемента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Связь с показателями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Направление (подпрограмма) «Реализация мероприятий социальной политики на территории Белоярского района»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Комплекс процессных мероприятий «Реализация мероприятий социальной политики на территории Белоярского района»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1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bottom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Ответственные за реализацию: УОТиСП, отдел по учету и контролю за расходованием финансовых средств администрации Белоярского района, Комитет по обра</w:t>
            </w:r>
            <w:r>
              <w:rPr>
                <w:rFonts w:ascii="Times New Roman" w:hAnsi="Times New Roman" w:eastAsia="Times New Roman" w:cs="Times New Roman"/>
              </w:rPr>
              <w:t xml:space="preserve">зованию администрации Белоярского района, Комитет по культуре администрации Белоярского района, Комитет по делам молодежи, физической культуре и спорту администрации Белоярского района, Управление капитального строительства администрации Белоярского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реализации: 2025 - 2030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bottom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Содействие развитию социальной сферы на территории Белоярского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Реализация мероприятий социальной политики на территории Белоярского района,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предоставление  выплат и компенсаций гражданам в Белоярском районе;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осуществление выплат пенсии за выслугу лет лицам, замещавшим муниципальные должности и должности  муниципальной службы Белоярского района;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проведение  социально значимых мероприятий для  граждан Белоярского района.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Реализация</w:t>
            </w:r>
            <w:r>
              <w:rPr>
                <w:rFonts w:ascii="Times New Roman" w:hAnsi="Times New Roman" w:eastAsia="Times New Roman" w:cs="Times New Roman"/>
              </w:rPr>
              <w:t xml:space="preserve"> мероприятий по приспособлению жилых помещений инвалидов и общего имущества                                    в многоквартирных домах, в которых проживают инвалиды,  с учётом потребностей инвалидов и обеспечению условий        их доступности для инвалидов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граждан, охваченных мероприятиями, направленными         на повышение качества жизни населения Белоярского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6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bottom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Ответственные за реализацию:  УОТиСП, отдел по  организации деятельности комиссий                по делам несовершеннолетних и защите их прав администрации Белоярского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реализации: 2025 - 2030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Обеспечение эффективного исполнения переданных отдельных государственных полномочий в сфере трудовых отношений и государственного управления охраной труда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Осуществление переданных отдельных государственных полномочий в сфере  трудовых отношений и государственного управления охраной труда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1.2.2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Обеспечение эффективного исполнения переданных отдельных государственных полномочий по созданию и осуществлению деятельности муниципальных комиссий               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Осуществление переданных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Направление (подпрограмма) «Поддержка социально ориентированных некоммерческих организаций»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47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Комплекс процессных мероприятий «Поддержка социально ориентированных некоммерческих организаций»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Ответственный за реализацию:  УОТиСП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49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Срок реализации: 2025 - 2030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bottom"/>
            <w:textDirection w:val="lrTb"/>
            <w:noWrap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Оказание поддержки социально ориентированным некоммерческим организациям, осуществляющим деятельность на территории Белоярского района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Ока</w:t>
            </w:r>
            <w:r>
              <w:rPr>
                <w:rFonts w:ascii="Times New Roman" w:hAnsi="Times New Roman" w:eastAsia="Times New Roman" w:cs="Times New Roman"/>
              </w:rPr>
              <w:t xml:space="preserve">зание финансовой поддержки в виде грантов в форме субсидий социально ориентированным некоммерческим организациям на реализацию социально значимых мероприятий.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Оказание финансовой поддержки в виде грантов в форме субсидий социально ориентированным некоммерческим организациям, осуществляющим  деятельность в области организации и поддержки благотворительности и добровольчества (волонтерства).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Проведение мероприятий, направленных на развитие социально ориентированных некоммерческих организаций.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Оказание информационной и консультационной поддержки социально ориентированным некоммерческим организациям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социально ориентированных некоммерческих организаций, получивших финансовую поддержку.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социально ориентированных некоммерческих организаций, получивших информационную, консультационную поддержку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49"/>
        <w:numPr>
          <w:ilvl w:val="0"/>
          <w:numId w:val="1"/>
        </w:numPr>
        <w:ind w:left="714" w:hanging="357"/>
        <w:jc w:val="center"/>
        <w:pageBreakBefore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705"/>
        <w:tblW w:w="0" w:type="auto"/>
        <w:tblLayout w:type="fixed"/>
        <w:tblLook w:val="04A0" w:firstRow="1" w:lastRow="0" w:firstColumn="1" w:lastColumn="0" w:noHBand="0" w:noVBand="1"/>
      </w:tblPr>
      <w:tblGrid>
        <w:gridCol w:w="750"/>
        <w:gridCol w:w="6494"/>
        <w:gridCol w:w="993"/>
        <w:gridCol w:w="1040"/>
        <w:gridCol w:w="945"/>
        <w:gridCol w:w="992"/>
        <w:gridCol w:w="1134"/>
        <w:gridCol w:w="945"/>
        <w:gridCol w:w="1417"/>
      </w:tblGrid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«Развитие социальной политики»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49 793,4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29 324,4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29 500,7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29 324,4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29 500,7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29 324,4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196 768,0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16 095,0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101 673,0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33 698,4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12 208,8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12 385,1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12 208,8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12 385,1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12 208,8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95 095,0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1 296,0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«Реализация мероприятий социальной политики на территории Белоярского района» (всего), 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32 090,6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11 685,1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11 685,1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89 987,2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32 090,6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11 685,1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11 685,1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89 987,2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«Предоставлены выплаты и компенсации гражданам в Белоярском  районе»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18 082,7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39 781,7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18 082,7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39 781,7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1.2.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«Выплачена пенсия за выслугу лет лицам, замещавшим муниципальные должности и должности  муниципальной службы»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7 132,7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41 144,2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7 132,7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41 144,2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1.3.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«Проведение  социально значимых мероприятий  для  граждан Белоярского района»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6 325,2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543,0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543,0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8 511,3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6 325,2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543,0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543,0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8 511,3</w:t>
            </w:r>
            <w:r/>
            <w:r/>
          </w:p>
        </w:tc>
      </w:tr>
      <w:tr>
        <w:tblPrEx/>
        <w:trPr>
          <w:trHeight w:val="55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1.4.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«Обустройство жилых помещений инвалидов и общего имущества                                    в многоквартирных домах, в которых проживают инвалиды»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550,0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550,0</w:t>
            </w:r>
            <w:r/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«Поддержка социально ориентированных некоммерческих организаций»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5 000,0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5 000,0</w:t>
            </w:r>
            <w:r/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«Оказана финансовая поддержка в виде грантов в форме субсидий социально ориентированным некоммерческим организациям на реализацию социально значимых мероприятий»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4 000,0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4 000,0</w:t>
            </w:r>
            <w:r/>
            <w:r/>
          </w:p>
        </w:tc>
      </w:tr>
      <w:tr>
        <w:tblPrEx/>
        <w:trPr>
          <w:trHeight w:val="7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2.2.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«Оказана финансовая поддержка социально ориентированным некоммерческим организациям, осуществляющим деятельность в области организации и поддержки благотворительности и добровольчества (волонтерства)»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</w:t>
              <w:br/>
              <w:t xml:space="preserve">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16 202,8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101 780,8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16 095,0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101 673,0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107,8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107,8</w:t>
            </w:r>
            <w:r/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3.1.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«Обеспечено исполнение переданных отдельных государственных полномочий в сфере  трудовых отношений и государственного управления охраной труда»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2 302,3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14 904,8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2 284,3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14 886,8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18,0</w:t>
            </w:r>
            <w:r/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3.2.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«Обеспечено исполнение переданных отдельных государственных полномочий по созданию и осуществлению деятельности муниципальных комиссий по делам несовершеннолетних и защите их прав»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13 900,5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86 876,0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13 810,7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86 786,2</w:t>
            </w:r>
            <w:r/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89,8</w:t>
            </w:r>
            <w:r/>
            <w:r/>
          </w:p>
        </w:tc>
      </w:tr>
    </w:tbl>
    <w:p>
      <w:pPr>
        <w:pStyle w:val="84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9"/>
        <w:contextualSpacing w:val="0"/>
        <w:jc w:val="center"/>
        <w:pageBreakBefore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4.1. Перечень мероприятий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9"/>
        <w:jc w:val="center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12"/>
          <w:szCs w:val="12"/>
        </w:rPr>
      </w:r>
      <w:r>
        <w:rPr>
          <w:rFonts w:ascii="Times New Roman" w:hAnsi="Times New Roman" w:eastAsia="Times New Roman" w:cs="Times New Roman"/>
          <w:sz w:val="12"/>
          <w:szCs w:val="12"/>
        </w:rPr>
      </w:r>
      <w:r>
        <w:rPr>
          <w:rFonts w:ascii="Times New Roman" w:hAnsi="Times New Roman" w:eastAsia="Times New Roman" w:cs="Times New Roman"/>
          <w:sz w:val="12"/>
          <w:szCs w:val="12"/>
        </w:rPr>
      </w:r>
    </w:p>
    <w:tbl>
      <w:tblPr>
        <w:tblW w:w="0" w:type="auto"/>
        <w:tblInd w:w="5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073"/>
        <w:gridCol w:w="5940"/>
        <w:gridCol w:w="5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 мероприятия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соответствии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 разделом 4 паспорта муниципальной программы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Содержание мероприятия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top"/>
            <w:textDirection w:val="lrTb"/>
            <w:noWrap w:val="false"/>
          </w:tcPr>
          <w:p>
            <w:pPr>
              <w:pStyle w:val="84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роведение  социально значимых мероприятий  для  граждан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елоярского района»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Проведение мероприятий</w:t>
            </w:r>
            <w:r>
              <w:rPr>
                <w:rFonts w:ascii="Times New Roman" w:hAnsi="Times New Roman" w:cs="Times New Roman"/>
              </w:rPr>
              <w:t xml:space="preserve">, посвященных празднованию Дня Победы в Великой Отечественной войне 1941-1945 </w:t>
            </w:r>
            <w:r>
              <w:rPr>
                <w:rFonts w:ascii="Times New Roman" w:hAnsi="Times New Roman" w:cs="Times New Roman"/>
              </w:rPr>
              <w:t xml:space="preserve">годов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(чествование ветеранов </w:t>
            </w:r>
            <w:r>
              <w:rPr>
                <w:rFonts w:ascii="Times New Roman" w:hAnsi="Times New Roman" w:cs="Times New Roman"/>
              </w:rPr>
              <w:t xml:space="preserve">Великой Отечественной войны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1941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1945 </w:t>
            </w:r>
            <w:r>
              <w:rPr>
                <w:rFonts w:ascii="Times New Roman" w:hAnsi="Times New Roman" w:cs="Times New Roman"/>
              </w:rPr>
              <w:t xml:space="preserve">годов</w:t>
            </w:r>
            <w:r>
              <w:rPr>
                <w:rFonts w:ascii="Times New Roman" w:hAnsi="Times New Roman" w:cs="Times New Roman"/>
              </w:rPr>
              <w:t xml:space="preserve"> и граждан, родившихся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до 31 декабря </w:t>
            </w:r>
            <w:r>
              <w:rPr>
                <w:rFonts w:ascii="Times New Roman" w:hAnsi="Times New Roman" w:cs="Times New Roman"/>
              </w:rPr>
              <w:t xml:space="preserve">1931 </w:t>
            </w:r>
            <w:r>
              <w:rPr>
                <w:rFonts w:ascii="Times New Roman" w:hAnsi="Times New Roman" w:cs="Times New Roman"/>
              </w:rPr>
              <w:t xml:space="preserve">года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муниципального конкурса «Семья года Белоярского района».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новогоднего утренника для детей </w:t>
            </w:r>
            <w:r>
              <w:rPr>
                <w:rFonts w:ascii="Times New Roman" w:hAnsi="Times New Roman" w:cs="Times New Roman"/>
              </w:rPr>
              <w:t xml:space="preserve">–</w:t>
            </w:r>
            <w:r>
              <w:rPr>
                <w:rFonts w:ascii="Times New Roman" w:hAnsi="Times New Roman" w:cs="Times New Roman"/>
              </w:rPr>
              <w:t xml:space="preserve"> инвалидов</w:t>
            </w:r>
            <w:r>
              <w:rPr>
                <w:rFonts w:ascii="Times New Roman" w:hAnsi="Times New Roman" w:cs="Times New Roman"/>
              </w:rPr>
              <w:t xml:space="preserve">, проживающих в городе Белоярский.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п</w:t>
            </w:r>
            <w:r>
              <w:rPr>
                <w:rFonts w:ascii="Times New Roman" w:hAnsi="Times New Roman" w:cs="Times New Roman"/>
              </w:rPr>
              <w:t xml:space="preserve">одписк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 на газету «Белоярские вести» для </w:t>
            </w:r>
            <w:r>
              <w:rPr>
                <w:rFonts w:ascii="Times New Roman" w:hAnsi="Times New Roman" w:cs="Times New Roman"/>
              </w:rPr>
              <w:t xml:space="preserve">неработающих пенсионеров, являющихся </w:t>
            </w:r>
            <w:r>
              <w:rPr>
                <w:rFonts w:ascii="Times New Roman" w:hAnsi="Times New Roman" w:cs="Times New Roman"/>
              </w:rPr>
              <w:t xml:space="preserve">ветеран</w:t>
            </w:r>
            <w:r>
              <w:rPr>
                <w:rFonts w:ascii="Times New Roman" w:hAnsi="Times New Roman" w:cs="Times New Roman"/>
              </w:rPr>
              <w:t xml:space="preserve">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Великой Отечественной войны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неработающи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пенсионер</w:t>
            </w:r>
            <w:r>
              <w:rPr>
                <w:rFonts w:ascii="Times New Roman" w:hAnsi="Times New Roman" w:cs="Times New Roman"/>
              </w:rPr>
              <w:t xml:space="preserve">ов</w:t>
            </w:r>
            <w:r>
              <w:rPr>
                <w:rFonts w:ascii="Times New Roman" w:hAnsi="Times New Roman" w:cs="Times New Roman"/>
              </w:rPr>
              <w:t xml:space="preserve">, родивши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ся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до 31 декабря </w:t>
            </w:r>
            <w:r>
              <w:rPr>
                <w:rFonts w:ascii="Times New Roman" w:hAnsi="Times New Roman" w:cs="Times New Roman"/>
              </w:rPr>
              <w:t xml:space="preserve">1931 </w:t>
            </w:r>
            <w:r>
              <w:rPr>
                <w:rFonts w:ascii="Times New Roman" w:hAnsi="Times New Roman" w:cs="Times New Roman"/>
              </w:rPr>
              <w:t xml:space="preserve">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 неработающи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пенсионер</w:t>
            </w:r>
            <w:r>
              <w:rPr>
                <w:rFonts w:ascii="Times New Roman" w:hAnsi="Times New Roman" w:cs="Times New Roman"/>
              </w:rPr>
              <w:t xml:space="preserve">ов</w:t>
            </w:r>
            <w:r>
              <w:rPr>
                <w:rFonts w:ascii="Times New Roman" w:hAnsi="Times New Roman" w:cs="Times New Roman"/>
              </w:rPr>
              <w:t xml:space="preserve">, являющи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ся </w:t>
            </w:r>
            <w:r>
              <w:rPr>
                <w:rFonts w:ascii="Times New Roman" w:hAnsi="Times New Roman" w:cs="Times New Roman"/>
              </w:rPr>
              <w:t xml:space="preserve"> инвалид</w:t>
            </w:r>
            <w:r>
              <w:rPr>
                <w:rFonts w:ascii="Times New Roman" w:hAnsi="Times New Roman" w:cs="Times New Roman"/>
              </w:rPr>
              <w:t xml:space="preserve">ами</w:t>
            </w:r>
            <w:r>
              <w:rPr>
                <w:rFonts w:ascii="Times New Roman" w:hAnsi="Times New Roman" w:cs="Times New Roman"/>
              </w:rPr>
              <w:t xml:space="preserve"> 1 группы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сосостоящи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на учете в управлении по охране труда и социальной политике</w:t>
            </w:r>
            <w:r>
              <w:rPr>
                <w:rFonts w:ascii="Times New Roman" w:hAnsi="Times New Roman" w:cs="Times New Roman"/>
              </w:rPr>
              <w:t xml:space="preserve"> администрации Белоярского района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9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Чествование граждан за особые заслуги</w:t>
            </w:r>
            <w:r>
              <w:rPr>
                <w:rFonts w:ascii="Times New Roman" w:hAnsi="Times New Roman" w:eastAsia="Times New Roman" w:cs="Times New Roman"/>
              </w:rPr>
              <w:t xml:space="preserve">                          в содействии проведения социальной, культурной и экономической политики Белоярского района, и иные заслуги перед Белоярским районом                         с вручением </w:t>
            </w:r>
            <w:r>
              <w:rPr>
                <w:rFonts w:ascii="Times New Roman" w:hAnsi="Times New Roman" w:eastAsia="Times New Roman" w:cs="Times New Roman"/>
              </w:rPr>
              <w:t xml:space="preserve">Благодарственных грамот главы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Style w:val="84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418" w:right="1440" w:bottom="992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87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9"/>
    <w:next w:val="849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9"/>
    <w:next w:val="849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next w:val="849"/>
    <w:link w:val="849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850">
    <w:name w:val="Заголовок 1"/>
    <w:basedOn w:val="849"/>
    <w:next w:val="849"/>
    <w:link w:val="857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szCs w:val="20"/>
    </w:rPr>
  </w:style>
  <w:style w:type="paragraph" w:styleId="851">
    <w:name w:val="Заголовок 2"/>
    <w:basedOn w:val="849"/>
    <w:next w:val="849"/>
    <w:link w:val="858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color w:val="000000"/>
      <w:sz w:val="24"/>
      <w:szCs w:val="20"/>
    </w:rPr>
  </w:style>
  <w:style w:type="paragraph" w:styleId="852">
    <w:name w:val="Заголовок 3"/>
    <w:basedOn w:val="849"/>
    <w:next w:val="849"/>
    <w:link w:val="859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color w:val="000000"/>
      <w:sz w:val="28"/>
      <w:szCs w:val="20"/>
    </w:rPr>
  </w:style>
  <w:style w:type="paragraph" w:styleId="853">
    <w:name w:val="Заголовок 4"/>
    <w:basedOn w:val="849"/>
    <w:next w:val="849"/>
    <w:link w:val="860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color w:val="000000"/>
      <w:sz w:val="32"/>
      <w:szCs w:val="20"/>
    </w:rPr>
  </w:style>
  <w:style w:type="character" w:styleId="854">
    <w:name w:val="Основной шрифт абзаца"/>
    <w:next w:val="854"/>
    <w:link w:val="849"/>
    <w:uiPriority w:val="1"/>
    <w:unhideWhenUsed/>
  </w:style>
  <w:style w:type="table" w:styleId="855">
    <w:name w:val="Обычная таблица"/>
    <w:next w:val="855"/>
    <w:link w:val="849"/>
    <w:uiPriority w:val="99"/>
    <w:unhideWhenUsed/>
    <w:tblPr/>
  </w:style>
  <w:style w:type="numbering" w:styleId="856">
    <w:name w:val="Нет списка"/>
    <w:next w:val="856"/>
    <w:link w:val="849"/>
    <w:uiPriority w:val="99"/>
    <w:semiHidden/>
    <w:unhideWhenUsed/>
  </w:style>
  <w:style w:type="character" w:styleId="857">
    <w:name w:val="Заголовок 1 Знак"/>
    <w:next w:val="857"/>
    <w:link w:val="850"/>
    <w:rPr>
      <w:rFonts w:ascii="Times New Roman" w:hAnsi="Times New Roman"/>
      <w:b/>
      <w:sz w:val="28"/>
    </w:rPr>
  </w:style>
  <w:style w:type="character" w:styleId="858">
    <w:name w:val="Заголовок 2 Знак"/>
    <w:next w:val="858"/>
    <w:link w:val="851"/>
    <w:rPr>
      <w:rFonts w:ascii="Times New Roman" w:hAnsi="Times New Roman"/>
      <w:b/>
      <w:sz w:val="24"/>
    </w:rPr>
  </w:style>
  <w:style w:type="character" w:styleId="859">
    <w:name w:val="Заголовок 3 Знак"/>
    <w:next w:val="859"/>
    <w:link w:val="852"/>
    <w:rPr>
      <w:rFonts w:ascii="Times New Roman" w:hAnsi="Times New Roman"/>
      <w:sz w:val="28"/>
    </w:rPr>
  </w:style>
  <w:style w:type="character" w:styleId="860">
    <w:name w:val="Заголовок 4 Знак"/>
    <w:next w:val="860"/>
    <w:link w:val="853"/>
    <w:rPr>
      <w:rFonts w:ascii="Times New Roman" w:hAnsi="Times New Roman"/>
      <w:b/>
      <w:sz w:val="32"/>
    </w:rPr>
  </w:style>
  <w:style w:type="character" w:styleId="861">
    <w:name w:val="Просмотренная гиперссылка"/>
    <w:next w:val="861"/>
    <w:link w:val="849"/>
    <w:uiPriority w:val="99"/>
    <w:unhideWhenUsed/>
    <w:rPr>
      <w:color w:val="800080"/>
      <w:u w:val="single"/>
    </w:rPr>
  </w:style>
  <w:style w:type="character" w:styleId="862">
    <w:name w:val="Знак примечания"/>
    <w:next w:val="862"/>
    <w:link w:val="849"/>
    <w:rPr>
      <w:sz w:val="16"/>
      <w:szCs w:val="16"/>
    </w:rPr>
  </w:style>
  <w:style w:type="character" w:styleId="863">
    <w:name w:val="Гиперссылка"/>
    <w:next w:val="863"/>
    <w:link w:val="849"/>
    <w:uiPriority w:val="99"/>
    <w:unhideWhenUsed/>
    <w:rPr>
      <w:color w:val="0000ff"/>
      <w:u w:val="single"/>
    </w:rPr>
  </w:style>
  <w:style w:type="character" w:styleId="864">
    <w:name w:val="Номер страницы"/>
    <w:next w:val="864"/>
    <w:link w:val="849"/>
  </w:style>
  <w:style w:type="paragraph" w:styleId="865">
    <w:name w:val="Текст выноски"/>
    <w:basedOn w:val="849"/>
    <w:next w:val="865"/>
    <w:link w:val="866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>
    <w:name w:val="Текст выноски Знак"/>
    <w:next w:val="866"/>
    <w:link w:val="865"/>
    <w:uiPriority w:val="99"/>
    <w:rPr>
      <w:rFonts w:ascii="Tahoma" w:hAnsi="Tahoma" w:eastAsia="Calibri" w:cs="Tahoma"/>
      <w:color w:val="000000"/>
      <w:sz w:val="16"/>
      <w:szCs w:val="16"/>
    </w:rPr>
  </w:style>
  <w:style w:type="paragraph" w:styleId="867">
    <w:name w:val="Текст"/>
    <w:basedOn w:val="849"/>
    <w:next w:val="867"/>
    <w:link w:val="868"/>
    <w:uiPriority w:val="99"/>
    <w:unhideWhenUsed/>
    <w:pPr>
      <w:spacing w:after="0" w:line="240" w:lineRule="auto"/>
    </w:pPr>
    <w:rPr>
      <w:rFonts w:cs="Times New Roman"/>
      <w:color w:val="000000"/>
      <w:szCs w:val="21"/>
      <w:lang w:eastAsia="en-US"/>
    </w:rPr>
  </w:style>
  <w:style w:type="character" w:styleId="868">
    <w:name w:val="Текст Знак"/>
    <w:next w:val="868"/>
    <w:link w:val="867"/>
    <w:uiPriority w:val="99"/>
    <w:rPr>
      <w:rFonts w:eastAsia="Calibri"/>
      <w:sz w:val="22"/>
      <w:szCs w:val="21"/>
      <w:lang w:eastAsia="en-US"/>
    </w:rPr>
  </w:style>
  <w:style w:type="paragraph" w:styleId="869">
    <w:name w:val="Основной текст с отступом 3"/>
    <w:basedOn w:val="849"/>
    <w:next w:val="869"/>
    <w:link w:val="870"/>
    <w:pPr>
      <w:jc w:val="center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870">
    <w:name w:val="Основной текст с отступом 3 Знак"/>
    <w:next w:val="870"/>
    <w:link w:val="869"/>
    <w:rPr>
      <w:rFonts w:ascii="Times New Roman" w:hAnsi="Times New Roman"/>
      <w:sz w:val="24"/>
    </w:rPr>
  </w:style>
  <w:style w:type="paragraph" w:styleId="871">
    <w:name w:val="Текст примечания"/>
    <w:basedOn w:val="849"/>
    <w:next w:val="871"/>
    <w:link w:val="872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872">
    <w:name w:val="Текст примечания Знак"/>
    <w:next w:val="872"/>
    <w:link w:val="871"/>
    <w:rPr>
      <w:rFonts w:ascii="Times New Roman" w:hAnsi="Times New Roman"/>
    </w:rPr>
  </w:style>
  <w:style w:type="paragraph" w:styleId="873">
    <w:name w:val="Тема примечания"/>
    <w:basedOn w:val="871"/>
    <w:next w:val="871"/>
    <w:link w:val="874"/>
    <w:rPr>
      <w:b/>
      <w:bCs/>
    </w:rPr>
  </w:style>
  <w:style w:type="character" w:styleId="874">
    <w:name w:val="Тема примечания Знак"/>
    <w:next w:val="874"/>
    <w:link w:val="873"/>
    <w:rPr>
      <w:rFonts w:ascii="Times New Roman" w:hAnsi="Times New Roman"/>
      <w:b/>
      <w:bCs/>
    </w:rPr>
  </w:style>
  <w:style w:type="paragraph" w:styleId="875">
    <w:name w:val="Верхний колонтитул"/>
    <w:basedOn w:val="849"/>
    <w:next w:val="875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1"/>
    <w:next w:val="876"/>
    <w:link w:val="875"/>
    <w:uiPriority w:val="99"/>
    <w:rPr>
      <w:rFonts w:ascii="Calibri" w:hAnsi="Calibri" w:eastAsia="Calibri" w:cs="Calibri"/>
      <w:color w:val="000000"/>
    </w:rPr>
  </w:style>
  <w:style w:type="paragraph" w:styleId="877">
    <w:name w:val="Основной текст"/>
    <w:basedOn w:val="849"/>
    <w:next w:val="877"/>
    <w:link w:val="878"/>
    <w:pPr>
      <w:spacing w:after="12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878">
    <w:name w:val="Основной текст Знак"/>
    <w:next w:val="878"/>
    <w:link w:val="877"/>
    <w:rPr>
      <w:rFonts w:ascii="Times New Roman" w:hAnsi="Times New Roman"/>
      <w:sz w:val="24"/>
      <w:szCs w:val="24"/>
    </w:rPr>
  </w:style>
  <w:style w:type="paragraph" w:styleId="879">
    <w:name w:val="Нижний колонтитул"/>
    <w:basedOn w:val="849"/>
    <w:next w:val="879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>
    <w:name w:val="Нижний колонтитул Знак1"/>
    <w:next w:val="880"/>
    <w:link w:val="879"/>
    <w:uiPriority w:val="99"/>
    <w:rPr>
      <w:rFonts w:ascii="Calibri" w:hAnsi="Calibri" w:eastAsia="Calibri" w:cs="Calibri"/>
      <w:color w:val="000000"/>
    </w:rPr>
  </w:style>
  <w:style w:type="paragraph" w:styleId="881">
    <w:name w:val="Обычный (веб)"/>
    <w:basedOn w:val="849"/>
    <w:next w:val="881"/>
    <w:link w:val="849"/>
    <w:uiPriority w:val="9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table" w:styleId="882">
    <w:name w:val="Сетка таблицы"/>
    <w:basedOn w:val="855"/>
    <w:next w:val="882"/>
    <w:link w:val="849"/>
    <w:uiPriority w:val="39"/>
    <w:tblPr/>
  </w:style>
  <w:style w:type="table" w:styleId="883">
    <w:name w:val="TableGrid1"/>
    <w:next w:val="883"/>
    <w:link w:val="849"/>
    <w:rPr>
      <w:sz w:val="22"/>
      <w:szCs w:val="22"/>
      <w:lang w:val="ru-RU" w:eastAsia="ru-RU" w:bidi="ar-SA"/>
    </w:rPr>
    <w:tblPr/>
  </w:style>
  <w:style w:type="paragraph" w:styleId="884">
    <w:name w:val="Абзац списка"/>
    <w:basedOn w:val="849"/>
    <w:next w:val="884"/>
    <w:link w:val="849"/>
    <w:uiPriority w:val="34"/>
    <w:qFormat/>
    <w:pPr>
      <w:contextualSpacing/>
      <w:ind w:left="720"/>
    </w:pPr>
  </w:style>
  <w:style w:type="paragraph" w:styleId="885">
    <w:name w:val="Верхний колонтитул1"/>
    <w:basedOn w:val="849"/>
    <w:next w:val="875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886">
    <w:name w:val="Верхний колонтитул Знак"/>
    <w:next w:val="886"/>
    <w:link w:val="885"/>
    <w:uiPriority w:val="99"/>
  </w:style>
  <w:style w:type="paragraph" w:styleId="887">
    <w:name w:val="Нижний колонтитул1"/>
    <w:basedOn w:val="849"/>
    <w:next w:val="879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888">
    <w:name w:val="Нижний колонтитул Знак"/>
    <w:next w:val="888"/>
    <w:link w:val="887"/>
    <w:uiPriority w:val="99"/>
  </w:style>
  <w:style w:type="paragraph" w:styleId="889">
    <w:name w:val="font5"/>
    <w:basedOn w:val="849"/>
    <w:next w:val="889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90">
    <w:name w:val="font6"/>
    <w:basedOn w:val="849"/>
    <w:next w:val="890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891">
    <w:name w:val="font7"/>
    <w:basedOn w:val="849"/>
    <w:next w:val="891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92">
    <w:name w:val="xl65"/>
    <w:basedOn w:val="849"/>
    <w:next w:val="892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93">
    <w:name w:val="xl66"/>
    <w:basedOn w:val="849"/>
    <w:next w:val="893"/>
    <w:link w:val="84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94">
    <w:name w:val="xl67"/>
    <w:basedOn w:val="849"/>
    <w:next w:val="894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95">
    <w:name w:val="xl68"/>
    <w:basedOn w:val="849"/>
    <w:next w:val="895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96">
    <w:name w:val="xl69"/>
    <w:basedOn w:val="849"/>
    <w:next w:val="896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7">
    <w:name w:val="xl70"/>
    <w:basedOn w:val="849"/>
    <w:next w:val="897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98">
    <w:name w:val="xl71"/>
    <w:basedOn w:val="849"/>
    <w:next w:val="898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9">
    <w:name w:val="xl72"/>
    <w:basedOn w:val="849"/>
    <w:next w:val="899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0">
    <w:name w:val="xl73"/>
    <w:basedOn w:val="849"/>
    <w:next w:val="900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1">
    <w:name w:val="xl74"/>
    <w:basedOn w:val="849"/>
    <w:next w:val="901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2">
    <w:name w:val="xl75"/>
    <w:basedOn w:val="849"/>
    <w:next w:val="902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3">
    <w:name w:val="xl76"/>
    <w:basedOn w:val="849"/>
    <w:next w:val="903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4">
    <w:name w:val="xl77"/>
    <w:basedOn w:val="849"/>
    <w:next w:val="904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5">
    <w:name w:val="xl78"/>
    <w:basedOn w:val="849"/>
    <w:next w:val="905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6">
    <w:name w:val="xl79"/>
    <w:basedOn w:val="849"/>
    <w:next w:val="906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7">
    <w:name w:val="xl80"/>
    <w:basedOn w:val="849"/>
    <w:next w:val="907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8">
    <w:name w:val="xl81"/>
    <w:basedOn w:val="849"/>
    <w:next w:val="908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9">
    <w:name w:val="xl82"/>
    <w:basedOn w:val="849"/>
    <w:next w:val="909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0">
    <w:name w:val="xl83"/>
    <w:basedOn w:val="849"/>
    <w:next w:val="910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11">
    <w:name w:val="xl84"/>
    <w:basedOn w:val="849"/>
    <w:next w:val="911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2">
    <w:name w:val="xl85"/>
    <w:basedOn w:val="849"/>
    <w:next w:val="912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3">
    <w:name w:val="xl86"/>
    <w:basedOn w:val="849"/>
    <w:next w:val="913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4">
    <w:name w:val="xl87"/>
    <w:basedOn w:val="849"/>
    <w:next w:val="914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15">
    <w:name w:val="xl88"/>
    <w:basedOn w:val="849"/>
    <w:next w:val="915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6">
    <w:name w:val="xl89"/>
    <w:basedOn w:val="849"/>
    <w:next w:val="916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7">
    <w:name w:val="xl90"/>
    <w:basedOn w:val="849"/>
    <w:next w:val="917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8">
    <w:name w:val="xl91"/>
    <w:basedOn w:val="849"/>
    <w:next w:val="918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19">
    <w:name w:val="xl92"/>
    <w:basedOn w:val="849"/>
    <w:next w:val="919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20">
    <w:name w:val="xl93"/>
    <w:basedOn w:val="849"/>
    <w:next w:val="920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21">
    <w:name w:val="xl94"/>
    <w:basedOn w:val="849"/>
    <w:next w:val="921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2">
    <w:name w:val="xl95"/>
    <w:basedOn w:val="849"/>
    <w:next w:val="922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3">
    <w:name w:val="xl96"/>
    <w:basedOn w:val="849"/>
    <w:next w:val="923"/>
    <w:link w:val="849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 w:cs="Times New Roman"/>
      <w:sz w:val="21"/>
      <w:szCs w:val="21"/>
    </w:rPr>
  </w:style>
  <w:style w:type="paragraph" w:styleId="924">
    <w:name w:val="xl97"/>
    <w:basedOn w:val="849"/>
    <w:next w:val="924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5">
    <w:name w:val="xl98"/>
    <w:basedOn w:val="849"/>
    <w:next w:val="925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26">
    <w:name w:val="xl99"/>
    <w:basedOn w:val="849"/>
    <w:next w:val="926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7">
    <w:name w:val="xl100"/>
    <w:basedOn w:val="849"/>
    <w:next w:val="927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8">
    <w:name w:val="xl101"/>
    <w:basedOn w:val="849"/>
    <w:next w:val="928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9">
    <w:name w:val="xl102"/>
    <w:basedOn w:val="849"/>
    <w:next w:val="929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30">
    <w:name w:val="xl103"/>
    <w:basedOn w:val="849"/>
    <w:next w:val="930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1">
    <w:name w:val="xl104"/>
    <w:basedOn w:val="849"/>
    <w:next w:val="931"/>
    <w:link w:val="849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32">
    <w:name w:val="xl105"/>
    <w:basedOn w:val="849"/>
    <w:next w:val="932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33">
    <w:name w:val="xl106"/>
    <w:basedOn w:val="849"/>
    <w:next w:val="933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34">
    <w:name w:val="xl107"/>
    <w:basedOn w:val="849"/>
    <w:next w:val="934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5">
    <w:name w:val="xl108"/>
    <w:basedOn w:val="849"/>
    <w:next w:val="935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6">
    <w:name w:val="xl109"/>
    <w:basedOn w:val="849"/>
    <w:next w:val="936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7">
    <w:name w:val="xl110"/>
    <w:basedOn w:val="849"/>
    <w:next w:val="937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38">
    <w:name w:val="xl111"/>
    <w:basedOn w:val="849"/>
    <w:next w:val="938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9">
    <w:name w:val="xl112"/>
    <w:basedOn w:val="849"/>
    <w:next w:val="939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40">
    <w:name w:val="xl113"/>
    <w:basedOn w:val="849"/>
    <w:next w:val="940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41">
    <w:name w:val="xl114"/>
    <w:basedOn w:val="849"/>
    <w:next w:val="941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2">
    <w:name w:val="xl115"/>
    <w:basedOn w:val="849"/>
    <w:next w:val="942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3">
    <w:name w:val="xl116"/>
    <w:basedOn w:val="849"/>
    <w:next w:val="943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4">
    <w:name w:val="xl117"/>
    <w:basedOn w:val="849"/>
    <w:next w:val="944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5">
    <w:name w:val="xl118"/>
    <w:basedOn w:val="849"/>
    <w:next w:val="945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6">
    <w:name w:val="xl119"/>
    <w:basedOn w:val="849"/>
    <w:next w:val="946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7">
    <w:name w:val="xl120"/>
    <w:basedOn w:val="849"/>
    <w:next w:val="947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8">
    <w:name w:val="xl121"/>
    <w:basedOn w:val="849"/>
    <w:next w:val="948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49">
    <w:name w:val="xl122"/>
    <w:basedOn w:val="849"/>
    <w:next w:val="949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0">
    <w:name w:val="xl123"/>
    <w:basedOn w:val="849"/>
    <w:next w:val="950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1">
    <w:name w:val="xl124"/>
    <w:basedOn w:val="849"/>
    <w:next w:val="951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52">
    <w:name w:val="xl125"/>
    <w:basedOn w:val="849"/>
    <w:next w:val="952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53">
    <w:name w:val="xl126"/>
    <w:basedOn w:val="849"/>
    <w:next w:val="953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54">
    <w:name w:val="xl127"/>
    <w:basedOn w:val="849"/>
    <w:next w:val="954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5">
    <w:name w:val="xl128"/>
    <w:basedOn w:val="849"/>
    <w:next w:val="955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6">
    <w:name w:val="xl129"/>
    <w:basedOn w:val="849"/>
    <w:next w:val="956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7">
    <w:name w:val="xl130"/>
    <w:basedOn w:val="849"/>
    <w:next w:val="957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8">
    <w:name w:val="xl131"/>
    <w:basedOn w:val="849"/>
    <w:next w:val="958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9">
    <w:name w:val="xl132"/>
    <w:basedOn w:val="849"/>
    <w:next w:val="959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0">
    <w:name w:val="Без интервала"/>
    <w:next w:val="960"/>
    <w:link w:val="849"/>
    <w:uiPriority w:val="1"/>
    <w:qFormat/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961">
    <w:name w:val="xl63"/>
    <w:basedOn w:val="849"/>
    <w:next w:val="961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962">
    <w:name w:val="xl64"/>
    <w:basedOn w:val="849"/>
    <w:next w:val="962"/>
    <w:link w:val="84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963">
    <w:name w:val="xl133"/>
    <w:basedOn w:val="849"/>
    <w:next w:val="963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4">
    <w:name w:val="xl134"/>
    <w:basedOn w:val="849"/>
    <w:next w:val="964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5">
    <w:name w:val="xl135"/>
    <w:basedOn w:val="849"/>
    <w:next w:val="965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6">
    <w:name w:val="xl136"/>
    <w:basedOn w:val="849"/>
    <w:next w:val="966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67">
    <w:name w:val="xl137"/>
    <w:basedOn w:val="849"/>
    <w:next w:val="967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968">
    <w:name w:val="TableGrid11"/>
    <w:next w:val="968"/>
    <w:link w:val="849"/>
    <w:rPr>
      <w:sz w:val="22"/>
      <w:szCs w:val="22"/>
      <w:lang w:val="ru-RU" w:eastAsia="ru-RU" w:bidi="ar-SA"/>
    </w:rPr>
    <w:tblPr/>
  </w:style>
  <w:style w:type="paragraph" w:styleId="969">
    <w:name w:val="ConsPlusNormal"/>
    <w:next w:val="969"/>
    <w:link w:val="970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70">
    <w:name w:val="ConsPlusNormal Знак"/>
    <w:next w:val="970"/>
    <w:link w:val="969"/>
    <w:rPr>
      <w:rFonts w:ascii="Arial" w:hAnsi="Arial" w:cs="Arial"/>
    </w:rPr>
  </w:style>
  <w:style w:type="paragraph" w:styleId="971">
    <w:name w:val=" Знак Знак Знак Знак"/>
    <w:basedOn w:val="849"/>
    <w:next w:val="971"/>
    <w:link w:val="849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972">
    <w:name w:val=" Знак"/>
    <w:basedOn w:val="849"/>
    <w:next w:val="972"/>
    <w:link w:val="849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973">
    <w:name w:val="List Paragraph"/>
    <w:basedOn w:val="849"/>
    <w:next w:val="973"/>
    <w:link w:val="849"/>
    <w:pPr>
      <w:ind w:left="720"/>
      <w:jc w:val="both"/>
      <w:spacing w:after="200" w:line="276" w:lineRule="auto"/>
    </w:pPr>
    <w:rPr>
      <w:rFonts w:eastAsia="Times New Roman"/>
      <w:color w:val="000000"/>
      <w:lang w:eastAsia="en-US"/>
    </w:rPr>
  </w:style>
  <w:style w:type="paragraph" w:styleId="974">
    <w:name w:val="ConsPlusTitle"/>
    <w:next w:val="974"/>
    <w:link w:val="849"/>
    <w:pPr>
      <w:widowControl w:val="off"/>
    </w:pPr>
    <w:rPr>
      <w:rFonts w:cs="Calibri"/>
      <w:b/>
      <w:bCs/>
      <w:sz w:val="22"/>
      <w:szCs w:val="22"/>
      <w:lang w:val="ru-RU" w:eastAsia="ru-RU" w:bidi="ar-SA"/>
    </w:rPr>
  </w:style>
  <w:style w:type="paragraph" w:styleId="975">
    <w:name w:val="ConsPlusCell"/>
    <w:next w:val="975"/>
    <w:link w:val="849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976">
    <w:name w:val="Сетка таблицы1"/>
    <w:basedOn w:val="855"/>
    <w:next w:val="976"/>
    <w:link w:val="849"/>
    <w:rPr>
      <w:rFonts w:ascii="Times New Roman" w:hAnsi="Times New Roman"/>
    </w:rPr>
    <w:tblPr/>
  </w:style>
  <w:style w:type="paragraph" w:styleId="977">
    <w:name w:val=" Знак Знак Знак Знак1 Знак Знак"/>
    <w:basedOn w:val="849"/>
    <w:next w:val="977"/>
    <w:link w:val="849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978">
    <w:name w:val="Знак Знак Знак Знак"/>
    <w:basedOn w:val="849"/>
    <w:next w:val="978"/>
    <w:link w:val="849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979">
    <w:name w:val="Знак2"/>
    <w:basedOn w:val="849"/>
    <w:next w:val="979"/>
    <w:link w:val="849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980">
    <w:name w:val=" Знак Знак Знак Знак1 Знак Знак1 Знак Знак Знак Знак Знак Знак Знак Знак Знак Знак Знак Знак Знак Знак"/>
    <w:basedOn w:val="849"/>
    <w:next w:val="980"/>
    <w:link w:val="849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table" w:styleId="981">
    <w:name w:val="Сетка таблицы11"/>
    <w:basedOn w:val="855"/>
    <w:next w:val="981"/>
    <w:link w:val="849"/>
    <w:uiPriority w:val="39"/>
    <w:tblPr/>
  </w:style>
  <w:style w:type="table" w:styleId="982">
    <w:name w:val="TableGrid21"/>
    <w:next w:val="982"/>
    <w:link w:val="849"/>
    <w:rPr>
      <w:sz w:val="22"/>
      <w:szCs w:val="22"/>
      <w:lang w:val="ru-RU" w:eastAsia="ru-RU" w:bidi="ar-SA"/>
    </w:rPr>
    <w:tblPr/>
  </w:style>
  <w:style w:type="table" w:styleId="983">
    <w:name w:val="Сетка таблицы2"/>
    <w:basedOn w:val="855"/>
    <w:next w:val="983"/>
    <w:link w:val="849"/>
    <w:uiPriority w:val="39"/>
    <w:tblPr/>
  </w:style>
  <w:style w:type="table" w:styleId="984">
    <w:name w:val="TableGrid31"/>
    <w:next w:val="984"/>
    <w:link w:val="849"/>
    <w:rPr>
      <w:sz w:val="22"/>
      <w:szCs w:val="22"/>
      <w:lang w:val="ru-RU" w:eastAsia="ru-RU" w:bidi="ar-SA"/>
    </w:rPr>
    <w:tblPr/>
  </w:style>
  <w:style w:type="table" w:styleId="985">
    <w:name w:val="Сетка таблицы3"/>
    <w:basedOn w:val="855"/>
    <w:next w:val="985"/>
    <w:link w:val="849"/>
    <w:uiPriority w:val="39"/>
    <w:tblPr/>
  </w:style>
  <w:style w:type="table" w:styleId="986">
    <w:name w:val="TableGrid41"/>
    <w:next w:val="986"/>
    <w:link w:val="849"/>
    <w:rPr>
      <w:sz w:val="22"/>
      <w:szCs w:val="22"/>
      <w:lang w:val="ru-RU" w:eastAsia="ru-RU" w:bidi="ar-SA"/>
    </w:rPr>
    <w:tblPr/>
  </w:style>
  <w:style w:type="table" w:styleId="987">
    <w:name w:val="TableGrid51"/>
    <w:next w:val="987"/>
    <w:link w:val="849"/>
    <w:rPr>
      <w:sz w:val="22"/>
      <w:szCs w:val="22"/>
      <w:lang w:val="ru-RU" w:eastAsia="ru-RU" w:bidi="ar-SA"/>
    </w:rPr>
    <w:tblPr/>
  </w:style>
  <w:style w:type="table" w:styleId="988">
    <w:name w:val="Сетка таблицы4"/>
    <w:basedOn w:val="855"/>
    <w:next w:val="988"/>
    <w:link w:val="849"/>
    <w:uiPriority w:val="39"/>
    <w:tblPr/>
  </w:style>
  <w:style w:type="table" w:styleId="989">
    <w:name w:val="TableGrid61"/>
    <w:next w:val="989"/>
    <w:link w:val="849"/>
    <w:rPr>
      <w:sz w:val="22"/>
      <w:szCs w:val="22"/>
      <w:lang w:val="ru-RU" w:eastAsia="ru-RU" w:bidi="ar-SA"/>
    </w:rPr>
    <w:tblPr/>
  </w:style>
  <w:style w:type="table" w:styleId="990">
    <w:name w:val="Сетка таблицы5"/>
    <w:basedOn w:val="855"/>
    <w:next w:val="990"/>
    <w:link w:val="849"/>
    <w:uiPriority w:val="39"/>
    <w:tblPr/>
  </w:style>
  <w:style w:type="table" w:styleId="991">
    <w:name w:val="TableGrid11"/>
    <w:next w:val="991"/>
    <w:link w:val="849"/>
    <w:rPr>
      <w:sz w:val="22"/>
      <w:szCs w:val="22"/>
      <w:lang w:val="ru-RU" w:eastAsia="ru-RU" w:bidi="ar-SA"/>
    </w:rPr>
    <w:tblPr/>
  </w:style>
  <w:style w:type="table" w:styleId="992">
    <w:name w:val="TableGrid71"/>
    <w:next w:val="992"/>
    <w:link w:val="849"/>
    <w:rPr>
      <w:sz w:val="22"/>
      <w:szCs w:val="22"/>
      <w:lang w:val="ru-RU" w:eastAsia="ru-RU" w:bidi="ar-SA"/>
    </w:rPr>
    <w:tblPr/>
  </w:style>
  <w:style w:type="paragraph" w:styleId="993">
    <w:name w:val="font8"/>
    <w:basedOn w:val="849"/>
    <w:next w:val="993"/>
    <w:link w:val="849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18"/>
      <w:szCs w:val="18"/>
    </w:rPr>
  </w:style>
  <w:style w:type="paragraph" w:styleId="994">
    <w:name w:val="font9"/>
    <w:basedOn w:val="849"/>
    <w:next w:val="994"/>
    <w:link w:val="849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sz w:val="18"/>
      <w:szCs w:val="18"/>
    </w:rPr>
  </w:style>
  <w:style w:type="paragraph" w:styleId="995">
    <w:name w:val="xl138"/>
    <w:basedOn w:val="849"/>
    <w:next w:val="995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6">
    <w:name w:val="xl139"/>
    <w:basedOn w:val="849"/>
    <w:next w:val="996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7">
    <w:name w:val="xl140"/>
    <w:basedOn w:val="849"/>
    <w:next w:val="997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8">
    <w:name w:val="xl141"/>
    <w:basedOn w:val="849"/>
    <w:next w:val="998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99">
    <w:name w:val="xl142"/>
    <w:basedOn w:val="849"/>
    <w:next w:val="999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1000">
    <w:name w:val="xl143"/>
    <w:basedOn w:val="849"/>
    <w:next w:val="1000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1001">
    <w:name w:val="xl144"/>
    <w:basedOn w:val="849"/>
    <w:next w:val="1001"/>
    <w:link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1002">
    <w:name w:val="xl145"/>
    <w:basedOn w:val="849"/>
    <w:next w:val="1002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1003">
    <w:name w:val="xl146"/>
    <w:basedOn w:val="849"/>
    <w:next w:val="1003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table" w:styleId="1004">
    <w:name w:val="Сетка таблицы6"/>
    <w:basedOn w:val="855"/>
    <w:next w:val="1004"/>
    <w:link w:val="849"/>
    <w:rPr>
      <w:rFonts w:ascii="Times New Roman" w:hAnsi="Times New Roman"/>
    </w:rPr>
    <w:tblPr/>
  </w:style>
  <w:style w:type="table" w:styleId="1005">
    <w:name w:val="Сетка таблицы12"/>
    <w:basedOn w:val="855"/>
    <w:next w:val="1005"/>
    <w:link w:val="849"/>
    <w:uiPriority w:val="39"/>
    <w:tblPr/>
  </w:style>
  <w:style w:type="table" w:styleId="1006">
    <w:name w:val="Сетка таблицы61"/>
    <w:basedOn w:val="855"/>
    <w:next w:val="1006"/>
    <w:link w:val="849"/>
    <w:uiPriority w:val="39"/>
    <w:tblPr/>
  </w:style>
  <w:style w:type="table" w:styleId="1007">
    <w:name w:val="TableGrid12"/>
    <w:next w:val="1007"/>
    <w:link w:val="849"/>
    <w:rPr>
      <w:sz w:val="22"/>
      <w:szCs w:val="22"/>
      <w:lang w:val="ru-RU" w:eastAsia="ru-RU" w:bidi="ar-SA"/>
    </w:rPr>
    <w:tblPr/>
  </w:style>
  <w:style w:type="table" w:styleId="1008">
    <w:name w:val="Сетка таблицы111"/>
    <w:basedOn w:val="855"/>
    <w:next w:val="1008"/>
    <w:link w:val="849"/>
    <w:rPr>
      <w:rFonts w:ascii="Times New Roman" w:hAnsi="Times New Roman"/>
    </w:rPr>
    <w:tblPr/>
  </w:style>
  <w:style w:type="table" w:styleId="1009">
    <w:name w:val="Сетка таблицы1111"/>
    <w:basedOn w:val="855"/>
    <w:next w:val="1009"/>
    <w:link w:val="849"/>
    <w:uiPriority w:val="39"/>
    <w:tblPr/>
  </w:style>
  <w:style w:type="table" w:styleId="1010">
    <w:name w:val="TableGrid21"/>
    <w:next w:val="1010"/>
    <w:link w:val="849"/>
    <w:rPr>
      <w:sz w:val="22"/>
      <w:szCs w:val="22"/>
      <w:lang w:val="ru-RU" w:eastAsia="ru-RU" w:bidi="ar-SA"/>
    </w:rPr>
    <w:tblPr/>
  </w:style>
  <w:style w:type="table" w:styleId="1011">
    <w:name w:val="Сетка таблицы21"/>
    <w:basedOn w:val="855"/>
    <w:next w:val="1011"/>
    <w:link w:val="849"/>
    <w:uiPriority w:val="39"/>
    <w:tblPr/>
  </w:style>
  <w:style w:type="table" w:styleId="1012">
    <w:name w:val="TableGrid31"/>
    <w:next w:val="1012"/>
    <w:link w:val="849"/>
    <w:rPr>
      <w:sz w:val="22"/>
      <w:szCs w:val="22"/>
      <w:lang w:val="ru-RU" w:eastAsia="ru-RU" w:bidi="ar-SA"/>
    </w:rPr>
    <w:tblPr/>
  </w:style>
  <w:style w:type="table" w:styleId="1013">
    <w:name w:val="Сетка таблицы31"/>
    <w:basedOn w:val="855"/>
    <w:next w:val="1013"/>
    <w:link w:val="849"/>
    <w:uiPriority w:val="39"/>
    <w:tblPr/>
  </w:style>
  <w:style w:type="table" w:styleId="1014">
    <w:name w:val="TableGrid41"/>
    <w:next w:val="1014"/>
    <w:link w:val="849"/>
    <w:rPr>
      <w:sz w:val="22"/>
      <w:szCs w:val="22"/>
      <w:lang w:val="ru-RU" w:eastAsia="ru-RU" w:bidi="ar-SA"/>
    </w:rPr>
    <w:tblPr/>
  </w:style>
  <w:style w:type="table" w:styleId="1015">
    <w:name w:val="TableGrid51"/>
    <w:next w:val="1015"/>
    <w:link w:val="849"/>
    <w:rPr>
      <w:sz w:val="22"/>
      <w:szCs w:val="22"/>
      <w:lang w:val="ru-RU" w:eastAsia="ru-RU" w:bidi="ar-SA"/>
    </w:rPr>
    <w:tblPr/>
  </w:style>
  <w:style w:type="table" w:styleId="1016">
    <w:name w:val="Сетка таблицы41"/>
    <w:basedOn w:val="855"/>
    <w:next w:val="1016"/>
    <w:link w:val="849"/>
    <w:uiPriority w:val="39"/>
    <w:tblPr/>
  </w:style>
  <w:style w:type="table" w:styleId="1017">
    <w:name w:val="TableGrid61"/>
    <w:next w:val="1017"/>
    <w:link w:val="849"/>
    <w:rPr>
      <w:sz w:val="22"/>
      <w:szCs w:val="22"/>
      <w:lang w:val="ru-RU" w:eastAsia="ru-RU" w:bidi="ar-SA"/>
    </w:rPr>
    <w:tblPr/>
  </w:style>
  <w:style w:type="table" w:styleId="1018">
    <w:name w:val="Сетка таблицы51"/>
    <w:basedOn w:val="855"/>
    <w:next w:val="1018"/>
    <w:link w:val="849"/>
    <w:uiPriority w:val="39"/>
    <w:tblPr/>
  </w:style>
  <w:style w:type="table" w:styleId="1019">
    <w:name w:val="TableGrid111"/>
    <w:next w:val="1019"/>
    <w:link w:val="849"/>
    <w:rPr>
      <w:sz w:val="22"/>
      <w:szCs w:val="22"/>
      <w:lang w:val="ru-RU" w:eastAsia="ru-RU" w:bidi="ar-SA"/>
    </w:rPr>
    <w:tblPr/>
  </w:style>
  <w:style w:type="table" w:styleId="1020">
    <w:name w:val="Сетка таблицы7"/>
    <w:basedOn w:val="855"/>
    <w:next w:val="1020"/>
    <w:link w:val="849"/>
    <w:rPr>
      <w:rFonts w:ascii="Times New Roman" w:hAnsi="Times New Roman"/>
    </w:rPr>
    <w:tblPr/>
  </w:style>
  <w:style w:type="table" w:styleId="1021">
    <w:name w:val="Сетка таблицы13"/>
    <w:basedOn w:val="855"/>
    <w:next w:val="1021"/>
    <w:link w:val="849"/>
    <w:uiPriority w:val="39"/>
    <w:tblPr/>
  </w:style>
  <w:style w:type="table" w:styleId="1022">
    <w:name w:val="Сетка таблицы62"/>
    <w:basedOn w:val="855"/>
    <w:next w:val="1022"/>
    <w:link w:val="849"/>
    <w:uiPriority w:val="39"/>
    <w:tblPr/>
  </w:style>
  <w:style w:type="table" w:styleId="1023">
    <w:name w:val="Сетка таблицы112"/>
    <w:basedOn w:val="855"/>
    <w:next w:val="1023"/>
    <w:link w:val="849"/>
    <w:rPr>
      <w:rFonts w:ascii="Times New Roman" w:hAnsi="Times New Roman"/>
    </w:rPr>
    <w:tblPr/>
  </w:style>
  <w:style w:type="table" w:styleId="1024">
    <w:name w:val="Сетка таблицы1112"/>
    <w:basedOn w:val="855"/>
    <w:next w:val="1024"/>
    <w:link w:val="849"/>
    <w:uiPriority w:val="39"/>
    <w:tblPr/>
  </w:style>
  <w:style w:type="table" w:styleId="1025">
    <w:name w:val="Сетка таблицы8"/>
    <w:basedOn w:val="855"/>
    <w:next w:val="1025"/>
    <w:link w:val="849"/>
    <w:rPr>
      <w:rFonts w:ascii="Times New Roman" w:hAnsi="Times New Roman"/>
    </w:rPr>
    <w:tblPr/>
  </w:style>
  <w:style w:type="table" w:styleId="1026">
    <w:name w:val="Сетка таблицы14"/>
    <w:basedOn w:val="855"/>
    <w:next w:val="1026"/>
    <w:link w:val="849"/>
    <w:uiPriority w:val="39"/>
    <w:tblPr/>
  </w:style>
  <w:style w:type="table" w:styleId="1027">
    <w:name w:val="Сетка таблицы63"/>
    <w:basedOn w:val="855"/>
    <w:next w:val="1027"/>
    <w:link w:val="849"/>
    <w:uiPriority w:val="39"/>
    <w:tblPr/>
  </w:style>
  <w:style w:type="table" w:styleId="1028">
    <w:name w:val="Сетка таблицы113"/>
    <w:basedOn w:val="855"/>
    <w:next w:val="1028"/>
    <w:link w:val="849"/>
    <w:rPr>
      <w:rFonts w:ascii="Times New Roman" w:hAnsi="Times New Roman"/>
    </w:rPr>
    <w:tblPr/>
  </w:style>
  <w:style w:type="table" w:styleId="1029">
    <w:name w:val="Сетка таблицы1113"/>
    <w:basedOn w:val="855"/>
    <w:next w:val="1029"/>
    <w:link w:val="849"/>
    <w:uiPriority w:val="39"/>
    <w:tblPr/>
  </w:style>
  <w:style w:type="table" w:styleId="1030">
    <w:name w:val="Сетка таблицы9"/>
    <w:basedOn w:val="855"/>
    <w:next w:val="1030"/>
    <w:link w:val="849"/>
    <w:rPr>
      <w:rFonts w:ascii="Times New Roman" w:hAnsi="Times New Roman"/>
    </w:rPr>
    <w:tblPr/>
  </w:style>
  <w:style w:type="table" w:styleId="1031">
    <w:name w:val="Сетка таблицы15"/>
    <w:basedOn w:val="855"/>
    <w:next w:val="1031"/>
    <w:link w:val="849"/>
    <w:uiPriority w:val="39"/>
    <w:tblPr/>
  </w:style>
  <w:style w:type="table" w:styleId="1032">
    <w:name w:val="Сетка таблицы64"/>
    <w:basedOn w:val="855"/>
    <w:next w:val="1032"/>
    <w:link w:val="849"/>
    <w:uiPriority w:val="39"/>
    <w:tblPr/>
  </w:style>
  <w:style w:type="table" w:styleId="1033">
    <w:name w:val="Сетка таблицы114"/>
    <w:basedOn w:val="855"/>
    <w:next w:val="1033"/>
    <w:link w:val="849"/>
    <w:rPr>
      <w:rFonts w:ascii="Times New Roman" w:hAnsi="Times New Roman"/>
    </w:rPr>
    <w:tblPr/>
  </w:style>
  <w:style w:type="table" w:styleId="1034">
    <w:name w:val="Сетка таблицы1114"/>
    <w:basedOn w:val="855"/>
    <w:next w:val="1034"/>
    <w:link w:val="849"/>
    <w:uiPriority w:val="39"/>
    <w:tblPr/>
  </w:style>
  <w:style w:type="table" w:styleId="1035">
    <w:name w:val="Сетка таблицы10"/>
    <w:basedOn w:val="855"/>
    <w:next w:val="1035"/>
    <w:link w:val="849"/>
    <w:rPr>
      <w:rFonts w:ascii="Times New Roman" w:hAnsi="Times New Roman"/>
    </w:rPr>
    <w:tblPr/>
  </w:style>
  <w:style w:type="table" w:styleId="1036">
    <w:name w:val="TableGrid81"/>
    <w:next w:val="1036"/>
    <w:link w:val="849"/>
    <w:rPr>
      <w:sz w:val="22"/>
      <w:szCs w:val="22"/>
      <w:lang w:val="ru-RU" w:eastAsia="ru-RU" w:bidi="ar-SA"/>
    </w:rPr>
    <w:tblPr/>
  </w:style>
  <w:style w:type="table" w:styleId="1037">
    <w:name w:val="TableGrid13"/>
    <w:next w:val="1037"/>
    <w:link w:val="849"/>
    <w:rPr>
      <w:sz w:val="22"/>
      <w:szCs w:val="22"/>
      <w:lang w:val="ru-RU" w:eastAsia="ru-RU" w:bidi="ar-SA"/>
    </w:rPr>
    <w:tblPr/>
  </w:style>
  <w:style w:type="table" w:styleId="1038">
    <w:name w:val="Сетка таблицы16"/>
    <w:basedOn w:val="855"/>
    <w:next w:val="1038"/>
    <w:link w:val="849"/>
    <w:uiPriority w:val="39"/>
    <w:tblPr/>
  </w:style>
  <w:style w:type="table" w:styleId="1039">
    <w:name w:val="TableGrid22"/>
    <w:next w:val="1039"/>
    <w:link w:val="849"/>
    <w:rPr>
      <w:sz w:val="22"/>
      <w:szCs w:val="22"/>
      <w:lang w:val="ru-RU" w:eastAsia="ru-RU" w:bidi="ar-SA"/>
    </w:rPr>
    <w:tblPr/>
  </w:style>
  <w:style w:type="table" w:styleId="1040">
    <w:name w:val="Сетка таблицы22"/>
    <w:basedOn w:val="855"/>
    <w:next w:val="1040"/>
    <w:link w:val="849"/>
    <w:uiPriority w:val="39"/>
    <w:tblPr/>
  </w:style>
  <w:style w:type="table" w:styleId="1041">
    <w:name w:val="TableGrid32"/>
    <w:next w:val="1041"/>
    <w:link w:val="849"/>
    <w:rPr>
      <w:sz w:val="22"/>
      <w:szCs w:val="22"/>
      <w:lang w:val="ru-RU" w:eastAsia="ru-RU" w:bidi="ar-SA"/>
    </w:rPr>
    <w:tblPr/>
  </w:style>
  <w:style w:type="table" w:styleId="1042">
    <w:name w:val="Сетка таблицы32"/>
    <w:basedOn w:val="855"/>
    <w:next w:val="1042"/>
    <w:link w:val="849"/>
    <w:uiPriority w:val="39"/>
    <w:tblPr/>
  </w:style>
  <w:style w:type="table" w:styleId="1043">
    <w:name w:val="TableGrid42"/>
    <w:next w:val="1043"/>
    <w:link w:val="849"/>
    <w:rPr>
      <w:sz w:val="22"/>
      <w:szCs w:val="22"/>
      <w:lang w:val="ru-RU" w:eastAsia="ru-RU" w:bidi="ar-SA"/>
    </w:rPr>
    <w:tblPr/>
  </w:style>
  <w:style w:type="table" w:styleId="1044">
    <w:name w:val="TableGrid52"/>
    <w:next w:val="1044"/>
    <w:link w:val="849"/>
    <w:rPr>
      <w:sz w:val="22"/>
      <w:szCs w:val="22"/>
      <w:lang w:val="ru-RU" w:eastAsia="ru-RU" w:bidi="ar-SA"/>
    </w:rPr>
    <w:tblPr/>
  </w:style>
  <w:style w:type="table" w:styleId="1045">
    <w:name w:val="Сетка таблицы42"/>
    <w:basedOn w:val="855"/>
    <w:next w:val="1045"/>
    <w:link w:val="849"/>
    <w:uiPriority w:val="39"/>
    <w:tblPr/>
  </w:style>
  <w:style w:type="table" w:styleId="1046">
    <w:name w:val="TableGrid62"/>
    <w:next w:val="1046"/>
    <w:link w:val="849"/>
    <w:rPr>
      <w:sz w:val="22"/>
      <w:szCs w:val="22"/>
      <w:lang w:val="ru-RU" w:eastAsia="ru-RU" w:bidi="ar-SA"/>
    </w:rPr>
    <w:tblPr/>
  </w:style>
  <w:style w:type="table" w:styleId="1047">
    <w:name w:val="Сетка таблицы52"/>
    <w:basedOn w:val="855"/>
    <w:next w:val="1047"/>
    <w:link w:val="849"/>
    <w:uiPriority w:val="39"/>
    <w:tblPr/>
  </w:style>
  <w:style w:type="table" w:styleId="1048">
    <w:name w:val="TableGrid112"/>
    <w:next w:val="1048"/>
    <w:link w:val="849"/>
    <w:rPr>
      <w:sz w:val="22"/>
      <w:szCs w:val="22"/>
      <w:lang w:val="ru-RU" w:eastAsia="ru-RU" w:bidi="ar-SA"/>
    </w:rPr>
    <w:tblPr/>
  </w:style>
  <w:style w:type="table" w:styleId="1049">
    <w:name w:val="TableGrid71"/>
    <w:next w:val="1049"/>
    <w:link w:val="849"/>
    <w:rPr>
      <w:sz w:val="22"/>
      <w:szCs w:val="22"/>
      <w:lang w:val="ru-RU" w:eastAsia="ru-RU" w:bidi="ar-SA"/>
    </w:rPr>
    <w:tblPr/>
  </w:style>
  <w:style w:type="table" w:styleId="1050">
    <w:name w:val="Сетка таблицы65"/>
    <w:basedOn w:val="855"/>
    <w:next w:val="1050"/>
    <w:link w:val="849"/>
    <w:uiPriority w:val="39"/>
    <w:tblPr/>
  </w:style>
  <w:style w:type="table" w:styleId="1051">
    <w:name w:val="TableGrid121"/>
    <w:next w:val="1051"/>
    <w:link w:val="849"/>
    <w:rPr>
      <w:sz w:val="22"/>
      <w:szCs w:val="22"/>
      <w:lang w:val="ru-RU" w:eastAsia="ru-RU" w:bidi="ar-SA"/>
    </w:rPr>
    <w:tblPr/>
  </w:style>
  <w:style w:type="table" w:styleId="1052">
    <w:name w:val="Сетка таблицы115"/>
    <w:basedOn w:val="855"/>
    <w:next w:val="1052"/>
    <w:link w:val="849"/>
    <w:rPr>
      <w:rFonts w:ascii="Times New Roman" w:hAnsi="Times New Roman"/>
    </w:rPr>
    <w:tblPr/>
  </w:style>
  <w:style w:type="table" w:styleId="1053">
    <w:name w:val="Сетка таблицы1115"/>
    <w:basedOn w:val="855"/>
    <w:next w:val="1053"/>
    <w:link w:val="849"/>
    <w:uiPriority w:val="39"/>
    <w:tblPr/>
  </w:style>
  <w:style w:type="table" w:styleId="1054">
    <w:name w:val="TableGrid211"/>
    <w:next w:val="1054"/>
    <w:link w:val="849"/>
    <w:rPr>
      <w:sz w:val="22"/>
      <w:szCs w:val="22"/>
      <w:lang w:val="ru-RU" w:eastAsia="ru-RU" w:bidi="ar-SA"/>
    </w:rPr>
    <w:tblPr/>
  </w:style>
  <w:style w:type="table" w:styleId="1055">
    <w:name w:val="Сетка таблицы211"/>
    <w:basedOn w:val="855"/>
    <w:next w:val="1055"/>
    <w:link w:val="849"/>
    <w:uiPriority w:val="39"/>
    <w:tblPr/>
  </w:style>
  <w:style w:type="table" w:styleId="1056">
    <w:name w:val="TableGrid311"/>
    <w:next w:val="1056"/>
    <w:link w:val="849"/>
    <w:rPr>
      <w:sz w:val="22"/>
      <w:szCs w:val="22"/>
      <w:lang w:val="ru-RU" w:eastAsia="ru-RU" w:bidi="ar-SA"/>
    </w:rPr>
    <w:tblPr/>
  </w:style>
  <w:style w:type="table" w:styleId="1057">
    <w:name w:val="Сетка таблицы311"/>
    <w:basedOn w:val="855"/>
    <w:next w:val="1057"/>
    <w:link w:val="849"/>
    <w:uiPriority w:val="39"/>
    <w:tblPr/>
  </w:style>
  <w:style w:type="table" w:styleId="1058">
    <w:name w:val="TableGrid411"/>
    <w:next w:val="1058"/>
    <w:link w:val="849"/>
    <w:rPr>
      <w:sz w:val="22"/>
      <w:szCs w:val="22"/>
      <w:lang w:val="ru-RU" w:eastAsia="ru-RU" w:bidi="ar-SA"/>
    </w:rPr>
    <w:tblPr/>
  </w:style>
  <w:style w:type="table" w:styleId="1059">
    <w:name w:val="TableGrid511"/>
    <w:next w:val="1059"/>
    <w:link w:val="849"/>
    <w:rPr>
      <w:sz w:val="22"/>
      <w:szCs w:val="22"/>
      <w:lang w:val="ru-RU" w:eastAsia="ru-RU" w:bidi="ar-SA"/>
    </w:rPr>
    <w:tblPr/>
  </w:style>
  <w:style w:type="table" w:styleId="1060">
    <w:name w:val="Сетка таблицы411"/>
    <w:basedOn w:val="855"/>
    <w:next w:val="1060"/>
    <w:link w:val="849"/>
    <w:uiPriority w:val="39"/>
    <w:tblPr/>
  </w:style>
  <w:style w:type="table" w:styleId="1061">
    <w:name w:val="TableGrid611"/>
    <w:next w:val="1061"/>
    <w:link w:val="849"/>
    <w:rPr>
      <w:sz w:val="22"/>
      <w:szCs w:val="22"/>
      <w:lang w:val="ru-RU" w:eastAsia="ru-RU" w:bidi="ar-SA"/>
    </w:rPr>
    <w:tblPr/>
  </w:style>
  <w:style w:type="table" w:styleId="1062">
    <w:name w:val="Сетка таблицы511"/>
    <w:basedOn w:val="855"/>
    <w:next w:val="1062"/>
    <w:link w:val="849"/>
    <w:uiPriority w:val="39"/>
    <w:tblPr/>
  </w:style>
  <w:style w:type="table" w:styleId="1063">
    <w:name w:val="TableGrid1111"/>
    <w:next w:val="1063"/>
    <w:link w:val="849"/>
    <w:rPr>
      <w:sz w:val="22"/>
      <w:szCs w:val="22"/>
      <w:lang w:val="ru-RU" w:eastAsia="ru-RU" w:bidi="ar-SA"/>
    </w:rPr>
    <w:tblPr/>
  </w:style>
  <w:style w:type="table" w:styleId="1064">
    <w:name w:val="Сетка таблицы17"/>
    <w:basedOn w:val="855"/>
    <w:next w:val="1064"/>
    <w:link w:val="849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1065">
    <w:name w:val="consplusnormal0"/>
    <w:basedOn w:val="849"/>
    <w:next w:val="1065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066">
    <w:name w:val="apple-converted-space"/>
    <w:next w:val="1066"/>
    <w:link w:val="849"/>
  </w:style>
  <w:style w:type="numbering" w:styleId="1067">
    <w:name w:val="Нет списка1"/>
    <w:next w:val="856"/>
    <w:link w:val="849"/>
    <w:uiPriority w:val="99"/>
    <w:semiHidden/>
    <w:unhideWhenUsed/>
  </w:style>
  <w:style w:type="paragraph" w:styleId="1068">
    <w:name w:val="msonormal"/>
    <w:basedOn w:val="849"/>
    <w:next w:val="1068"/>
    <w:link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1069">
    <w:name w:val="xl147"/>
    <w:basedOn w:val="849"/>
    <w:next w:val="1069"/>
    <w:link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0">
    <w:name w:val="xl148"/>
    <w:basedOn w:val="849"/>
    <w:next w:val="1070"/>
    <w:link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1">
    <w:name w:val="xl149"/>
    <w:basedOn w:val="849"/>
    <w:next w:val="1071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2">
    <w:name w:val="xl150"/>
    <w:basedOn w:val="849"/>
    <w:next w:val="1072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3">
    <w:name w:val="xl151"/>
    <w:basedOn w:val="849"/>
    <w:next w:val="1073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4">
    <w:name w:val="xl152"/>
    <w:basedOn w:val="849"/>
    <w:next w:val="1074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5">
    <w:name w:val="xl153"/>
    <w:basedOn w:val="849"/>
    <w:next w:val="1075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6">
    <w:name w:val="xl154"/>
    <w:basedOn w:val="849"/>
    <w:next w:val="1076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7">
    <w:name w:val="xl155"/>
    <w:basedOn w:val="849"/>
    <w:next w:val="1077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8">
    <w:name w:val="xl156"/>
    <w:basedOn w:val="849"/>
    <w:next w:val="1078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79">
    <w:name w:val="xl157"/>
    <w:basedOn w:val="849"/>
    <w:next w:val="1079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80">
    <w:name w:val="xl158"/>
    <w:basedOn w:val="849"/>
    <w:next w:val="1080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1">
    <w:name w:val="xl159"/>
    <w:basedOn w:val="849"/>
    <w:next w:val="1081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2">
    <w:name w:val="xl160"/>
    <w:basedOn w:val="849"/>
    <w:next w:val="1082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3">
    <w:name w:val="xl161"/>
    <w:basedOn w:val="849"/>
    <w:next w:val="1083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4">
    <w:name w:val="xl162"/>
    <w:basedOn w:val="849"/>
    <w:next w:val="1084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5">
    <w:name w:val="xl163"/>
    <w:basedOn w:val="849"/>
    <w:next w:val="1085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6">
    <w:name w:val="xl164"/>
    <w:basedOn w:val="849"/>
    <w:next w:val="1086"/>
    <w:link w:val="849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1087">
    <w:name w:val="xl165"/>
    <w:basedOn w:val="849"/>
    <w:next w:val="1087"/>
    <w:link w:val="849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1088">
    <w:name w:val="xl166"/>
    <w:basedOn w:val="849"/>
    <w:next w:val="1088"/>
    <w:link w:val="849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table" w:styleId="1089">
    <w:name w:val="Сетка таблицы18"/>
    <w:basedOn w:val="855"/>
    <w:next w:val="882"/>
    <w:link w:val="849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numbering" w:styleId="1090">
    <w:name w:val="Нет списка2"/>
    <w:next w:val="856"/>
    <w:link w:val="849"/>
    <w:uiPriority w:val="99"/>
    <w:semiHidden/>
    <w:unhideWhenUsed/>
  </w:style>
  <w:style w:type="paragraph" w:styleId="1091">
    <w:name w:val="xl167"/>
    <w:basedOn w:val="849"/>
    <w:next w:val="1091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92">
    <w:name w:val="xl168"/>
    <w:basedOn w:val="849"/>
    <w:next w:val="1092"/>
    <w:link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93">
    <w:name w:val="xl169"/>
    <w:basedOn w:val="849"/>
    <w:next w:val="1093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94">
    <w:name w:val="xl170"/>
    <w:basedOn w:val="849"/>
    <w:next w:val="1094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1095">
    <w:name w:val="Сетка таблицы19"/>
    <w:basedOn w:val="855"/>
    <w:next w:val="882"/>
    <w:link w:val="849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1096">
    <w:name w:val="xl171"/>
    <w:basedOn w:val="849"/>
    <w:next w:val="1096"/>
    <w:link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1097">
    <w:name w:val="Сетка таблицы20"/>
    <w:basedOn w:val="855"/>
    <w:next w:val="882"/>
    <w:link w:val="849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1098" w:default="1">
    <w:name w:val="Default Paragraph Font"/>
    <w:uiPriority w:val="1"/>
    <w:semiHidden/>
    <w:unhideWhenUsed/>
  </w:style>
  <w:style w:type="numbering" w:styleId="1099" w:default="1">
    <w:name w:val="No List"/>
    <w:uiPriority w:val="99"/>
    <w:semiHidden/>
    <w:unhideWhenUsed/>
  </w:style>
  <w:style w:type="table" w:styleId="11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</dc:creator>
  <cp:lastModifiedBy>BordunAO</cp:lastModifiedBy>
  <cp:revision>6</cp:revision>
  <dcterms:created xsi:type="dcterms:W3CDTF">2024-12-09T10:21:00Z</dcterms:created>
  <dcterms:modified xsi:type="dcterms:W3CDTF">2026-01-28T11:47:14Z</dcterms:modified>
  <cp:version>1048576</cp:version>
</cp:coreProperties>
</file>