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650"/>
                <wp:effectExtent l="19050" t="0" r="381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3890" cy="88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5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БЕЛОЯРСКИЙ РАЙОН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ХАНТЫ-МАНСИЙСКИЙ АВТОНОМНЫЙ ОКРУГ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ЮГРА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</w:r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9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ДУМА БЕЛОЯРСКОГО РАЙОНА</w:t>
      </w:r>
      <w:r>
        <w:rPr>
          <w:rFonts w:ascii="Times New Roman" w:hAnsi="Times New Roman" w:cs="Times New Roman"/>
        </w:rPr>
      </w:r>
    </w:p>
    <w:p>
      <w:pPr>
        <w:pStyle w:val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РЕШЕНИЕ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                                                      </w:t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76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органам местного самоуправления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Белоярский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части полномочий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№ 131-ФЗ «Об общих принципах организации</w:t>
      </w:r>
      <w:r>
        <w:rPr>
          <w:rFonts w:ascii="Times New Roman" w:hAnsi="Times New Roman"/>
        </w:rPr>
        <w:t xml:space="preserve"> местного самоуправления </w:t>
      </w: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 Российской </w:t>
      </w:r>
      <w:r>
        <w:rPr>
          <w:rFonts w:ascii="Times New Roman" w:hAnsi="Times New Roman"/>
        </w:rPr>
        <w:t xml:space="preserve">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</w:t>
      </w:r>
      <w:r>
        <w:rPr>
          <w:rFonts w:ascii="Times New Roman" w:hAnsi="Times New Roman"/>
        </w:rPr>
        <w:t xml:space="preserve">твержденным решением Думы Белоярского района от 22 мая 2013 года № 359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</w:t>
      </w:r>
      <w:r>
        <w:rPr>
          <w:rFonts w:ascii="Times New Roman" w:hAnsi="Times New Roman"/>
        </w:rPr>
        <w:t xml:space="preserve"> решен</w:t>
      </w:r>
      <w:r>
        <w:rPr>
          <w:rFonts w:ascii="Times New Roman" w:hAnsi="Times New Roman"/>
        </w:rPr>
        <w:t xml:space="preserve">ию вопросов местного значения»</w:t>
      </w:r>
      <w:r>
        <w:rPr>
          <w:rFonts w:ascii="Times New Roman" w:hAnsi="Times New Roman"/>
        </w:rPr>
        <w:t xml:space="preserve">,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</w:t>
      </w:r>
      <w:r>
        <w:rPr>
          <w:rFonts w:ascii="Times New Roman" w:hAnsi="Times New Roman"/>
        </w:rPr>
        <w:t xml:space="preserve">городского поселения Белоярский</w:t>
      </w:r>
      <w:r>
        <w:rPr>
          <w:rFonts w:ascii="Times New Roman" w:hAnsi="Times New Roman"/>
        </w:rPr>
        <w:t xml:space="preserve">, Дума Белоярского района </w:t>
      </w:r>
      <w:r>
        <w:rPr>
          <w:rFonts w:ascii="Times New Roman" w:hAnsi="Times New Roman"/>
          <w:b/>
        </w:rPr>
        <w:t xml:space="preserve">р</w:t>
      </w:r>
      <w:r>
        <w:rPr>
          <w:rFonts w:ascii="Times New Roman" w:hAnsi="Times New Roman"/>
          <w:b/>
        </w:rPr>
        <w:t xml:space="preserve"> е ш и л а: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Органам местного са</w:t>
      </w:r>
      <w:r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 xml:space="preserve">передать на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 органам местного самоуправления городского поселени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 осуществление </w:t>
      </w:r>
      <w:r>
        <w:rPr>
          <w:rFonts w:ascii="Times New Roman" w:hAnsi="Times New Roman"/>
        </w:rPr>
        <w:t xml:space="preserve">части полномочий органов местного самоуправления Белоярского района</w:t>
      </w:r>
      <w:r>
        <w:rPr>
          <w:rFonts w:ascii="Times New Roman" w:hAnsi="Times New Roman"/>
        </w:rPr>
        <w:t xml:space="preserve"> по решению вопросов местного</w:t>
      </w:r>
      <w:r>
        <w:rPr>
          <w:rFonts w:ascii="Times New Roman" w:hAnsi="Times New Roman"/>
        </w:rPr>
        <w:t xml:space="preserve"> значения согласно приложени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настоящему решению.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Поручить главе Белоярского района в соответствии с настоящим решением заключить с глав</w:t>
      </w:r>
      <w:r>
        <w:rPr>
          <w:rFonts w:ascii="Times New Roman" w:hAnsi="Times New Roman"/>
        </w:rPr>
        <w:t xml:space="preserve">ой</w:t>
      </w:r>
      <w:r>
        <w:rPr>
          <w:rFonts w:ascii="Times New Roman" w:hAnsi="Times New Roman"/>
        </w:rPr>
        <w:t xml:space="preserve"> городского поселени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, главой администрации городского поселения Белоярский соглашени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о передаче</w:t>
      </w:r>
      <w:r>
        <w:rPr>
          <w:rFonts w:ascii="Times New Roman" w:hAnsi="Times New Roman"/>
        </w:rPr>
        <w:t xml:space="preserve"> части полномочий по решению вопросов местного </w:t>
      </w:r>
      <w:r>
        <w:rPr>
          <w:rFonts w:ascii="Times New Roman" w:hAnsi="Times New Roman"/>
        </w:rPr>
        <w:t xml:space="preserve">значения на срок с </w:t>
      </w:r>
      <w:r>
        <w:rPr>
          <w:rFonts w:ascii="Times New Roman" w:hAnsi="Times New Roman"/>
        </w:rPr>
        <w:t xml:space="preserve">01</w:t>
      </w:r>
      <w:r>
        <w:rPr>
          <w:rFonts w:ascii="Times New Roman" w:hAnsi="Times New Roman"/>
        </w:rPr>
        <w:t xml:space="preserve"> января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 по 31 декабря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Предусмотреть в бюджете Белоярск</w:t>
      </w:r>
      <w:r>
        <w:rPr>
          <w:rFonts w:ascii="Times New Roman" w:hAnsi="Times New Roman"/>
        </w:rPr>
        <w:t xml:space="preserve">ого района на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иные межбюджетные трансферты, необходимые для осуществления органами местного самоуправления городского поселени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 части передаваемых полномочий органов местного самоуправления Белоярского района по решению вопросов местного значения.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Направить настоящее решение в органы местного самоуправления городского поселени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Опубликовать настоящее решение в газете «Белоярские вести. Официальный выпуск».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А.Г.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Берестов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Белоярского района                          </w:t>
      </w: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С.П.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Маненков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76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естного самоуправления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по решению вопросов местного значения, передаваемых органам местного самоуправления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Белоярский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в 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По вопросу </w:t>
      </w:r>
      <w:r>
        <w:rPr>
          <w:rFonts w:ascii="Times New Roman" w:hAnsi="Times New Roman" w:eastAsia="Calibri"/>
        </w:rPr>
        <w:t xml:space="preserve">организации мероприятий </w:t>
      </w:r>
      <w:r>
        <w:rPr>
          <w:rFonts w:ascii="Times New Roman" w:hAnsi="Times New Roman" w:eastAsia="Calibri"/>
        </w:rPr>
        <w:t xml:space="preserve">межпоселенческого</w:t>
      </w:r>
      <w:r>
        <w:rPr>
          <w:rFonts w:ascii="Times New Roman" w:hAnsi="Times New Roman" w:eastAsia="Calibri"/>
        </w:rPr>
        <w:t xml:space="preserve"> характера п</w:t>
      </w:r>
      <w:r>
        <w:rPr>
          <w:rFonts w:ascii="Times New Roman" w:hAnsi="Times New Roman" w:eastAsia="Calibri"/>
        </w:rPr>
        <w:t xml:space="preserve">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 </w:t>
      </w:r>
      <w:r>
        <w:rPr>
          <w:rFonts w:ascii="Times New Roman" w:hAnsi="Times New Roman"/>
        </w:rPr>
        <w:t xml:space="preserve">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информирование населения о законодательстве в области охраны окружающей среды и законодательстве в области экологической безопасности.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</w:t>
      </w:r>
      <w:r>
        <w:rPr>
          <w:rFonts w:ascii="Times New Roman" w:hAnsi="Times New Roman"/>
        </w:rPr>
      </w:r>
    </w:p>
    <w:sectPr>
      <w:headerReference w:type="even" r:id="rId9"/>
      <w:footnotePr/>
      <w:endnotePr/>
      <w:type w:val="nextPage"/>
      <w:pgSz w:w="11907" w:h="16840" w:orient="portrait"/>
      <w:pgMar w:top="426" w:right="851" w:bottom="28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rStyle w:val="711"/>
      </w:rPr>
      <w:framePr w:wrap="around" w:vAnchor="text" w:hAnchor="margin" w:xAlign="center" w:y="1"/>
    </w:pPr>
    <w:r>
      <w:rPr>
        <w:rStyle w:val="711"/>
      </w:rPr>
      <w:fldChar w:fldCharType="begin"/>
    </w:r>
    <w:r>
      <w:rPr>
        <w:rStyle w:val="711"/>
      </w:rPr>
      <w:instrText xml:space="preserve">PAGE  </w:instrText>
    </w:r>
    <w:r>
      <w:rPr>
        <w:rStyle w:val="711"/>
      </w:rPr>
      <w:fldChar w:fldCharType="end"/>
    </w:r>
    <w:r>
      <w:rPr>
        <w:rStyle w:val="711"/>
      </w:rPr>
    </w:r>
  </w:p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55" w:hanging="1215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55" w:hanging="1215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215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215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755" w:hanging="1215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5" w:hanging="360"/>
        <w:tabs>
          <w:tab w:val="num" w:pos="106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5" w:hanging="420"/>
        <w:tabs>
          <w:tab w:val="num" w:pos="11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  <w:tabs>
          <w:tab w:val="num" w:pos="142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  <w:tabs>
          <w:tab w:val="num" w:pos="214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  <w:tabs>
          <w:tab w:val="num" w:pos="286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  <w:tabs>
          <w:tab w:val="num" w:pos="358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  <w:tabs>
          <w:tab w:val="num" w:pos="430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  <w:tabs>
          <w:tab w:val="num" w:pos="502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  <w:tabs>
          <w:tab w:val="num" w:pos="574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  <w:tabs>
          <w:tab w:val="num" w:pos="646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  <w:tabs>
          <w:tab w:val="num" w:pos="7185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hanging="36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5" w:hanging="360"/>
        <w:tabs>
          <w:tab w:val="num" w:pos="106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6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6"/>
    <w:link w:val="69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6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6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6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9"/>
    <w:uiPriority w:val="99"/>
  </w:style>
  <w:style w:type="character" w:styleId="45">
    <w:name w:val="Footer Char"/>
    <w:basedOn w:val="696"/>
    <w:link w:val="715"/>
    <w:uiPriority w:val="99"/>
  </w:style>
  <w:style w:type="character" w:styleId="47">
    <w:name w:val="Caption Char"/>
    <w:basedOn w:val="696"/>
    <w:link w:val="705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pPr>
      <w:ind w:firstLine="567"/>
      <w:jc w:val="both"/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690">
    <w:name w:val="Heading 1"/>
    <w:basedOn w:val="689"/>
    <w:next w:val="689"/>
    <w:link w:val="699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691">
    <w:name w:val="Heading 2"/>
    <w:basedOn w:val="689"/>
    <w:link w:val="70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692">
    <w:name w:val="Heading 3"/>
    <w:basedOn w:val="689"/>
    <w:link w:val="701"/>
    <w:qFormat/>
    <w:pPr>
      <w:outlineLvl w:val="2"/>
    </w:pPr>
    <w:rPr>
      <w:rFonts w:cs="Arial"/>
      <w:b/>
      <w:bCs/>
      <w:sz w:val="28"/>
      <w:szCs w:val="26"/>
    </w:rPr>
  </w:style>
  <w:style w:type="paragraph" w:styleId="693">
    <w:name w:val="Heading 4"/>
    <w:basedOn w:val="689"/>
    <w:link w:val="702"/>
    <w:qFormat/>
    <w:pPr>
      <w:outlineLvl w:val="3"/>
    </w:pPr>
    <w:rPr>
      <w:b/>
      <w:bCs/>
      <w:sz w:val="26"/>
      <w:szCs w:val="28"/>
    </w:rPr>
  </w:style>
  <w:style w:type="paragraph" w:styleId="694">
    <w:name w:val="Heading 5"/>
    <w:basedOn w:val="689"/>
    <w:next w:val="689"/>
    <w:link w:val="70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95">
    <w:name w:val="Heading 6"/>
    <w:basedOn w:val="689"/>
    <w:next w:val="689"/>
    <w:link w:val="704"/>
    <w:qFormat/>
    <w:pPr>
      <w:jc w:val="center"/>
      <w:keepNext/>
      <w:outlineLvl w:val="5"/>
    </w:pPr>
    <w:rPr>
      <w:b/>
      <w:sz w:val="26"/>
      <w:szCs w:val="20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90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00" w:customStyle="1">
    <w:name w:val="Заголовок 2 Знак"/>
    <w:basedOn w:val="696"/>
    <w:link w:val="691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701" w:customStyle="1">
    <w:name w:val="Заголовок 3 Знак"/>
    <w:basedOn w:val="696"/>
    <w:link w:val="692"/>
    <w:rPr>
      <w:rFonts w:ascii="Arial" w:hAnsi="Arial" w:eastAsia="Times New Roman" w:cs="Arial"/>
      <w:b/>
      <w:bCs/>
      <w:sz w:val="28"/>
      <w:szCs w:val="26"/>
      <w:lang w:eastAsia="ru-RU"/>
    </w:rPr>
  </w:style>
  <w:style w:type="character" w:styleId="702" w:customStyle="1">
    <w:name w:val="Заголовок 4 Знак"/>
    <w:basedOn w:val="696"/>
    <w:link w:val="693"/>
    <w:rPr>
      <w:rFonts w:ascii="Arial" w:hAnsi="Arial" w:eastAsia="Times New Roman" w:cs="Times New Roman"/>
      <w:b/>
      <w:bCs/>
      <w:sz w:val="26"/>
      <w:szCs w:val="28"/>
      <w:lang w:eastAsia="ru-RU"/>
    </w:rPr>
  </w:style>
  <w:style w:type="character" w:styleId="703" w:customStyle="1">
    <w:name w:val="Заголовок 5 Знак"/>
    <w:basedOn w:val="696"/>
    <w:link w:val="694"/>
    <w:rPr>
      <w:rFonts w:ascii="Arial" w:hAnsi="Arial" w:eastAsia="Times New Roman" w:cs="Times New Roman"/>
      <w:b/>
      <w:bCs/>
      <w:i/>
      <w:iCs/>
      <w:sz w:val="26"/>
      <w:szCs w:val="26"/>
      <w:lang w:eastAsia="ru-RU"/>
    </w:rPr>
  </w:style>
  <w:style w:type="character" w:styleId="704" w:customStyle="1">
    <w:name w:val="Заголовок 6 Знак"/>
    <w:basedOn w:val="696"/>
    <w:link w:val="695"/>
    <w:rPr>
      <w:rFonts w:ascii="Arial" w:hAnsi="Arial" w:eastAsia="Times New Roman" w:cs="Times New Roman"/>
      <w:b/>
      <w:sz w:val="26"/>
      <w:szCs w:val="20"/>
      <w:lang w:eastAsia="ru-RU"/>
    </w:rPr>
  </w:style>
  <w:style w:type="paragraph" w:styleId="705">
    <w:name w:val="Caption"/>
    <w:basedOn w:val="689"/>
    <w:next w:val="689"/>
    <w:qFormat/>
    <w:pPr>
      <w:jc w:val="center"/>
    </w:pPr>
    <w:rPr>
      <w:b/>
      <w:sz w:val="20"/>
      <w:szCs w:val="20"/>
    </w:rPr>
  </w:style>
  <w:style w:type="paragraph" w:styleId="706" w:customStyle="1">
    <w:name w:val="Знак Знак Знак Знак"/>
    <w:basedOn w:val="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07">
    <w:name w:val="Body Text"/>
    <w:basedOn w:val="689"/>
    <w:link w:val="708"/>
    <w:pPr>
      <w:spacing w:after="120"/>
    </w:pPr>
  </w:style>
  <w:style w:type="character" w:styleId="708" w:customStyle="1">
    <w:name w:val="Основной текст Знак"/>
    <w:basedOn w:val="696"/>
    <w:link w:val="707"/>
    <w:rPr>
      <w:rFonts w:ascii="Arial" w:hAnsi="Arial" w:eastAsia="Times New Roman" w:cs="Times New Roman"/>
      <w:sz w:val="24"/>
      <w:szCs w:val="24"/>
      <w:lang w:eastAsia="ru-RU"/>
    </w:rPr>
  </w:style>
  <w:style w:type="paragraph" w:styleId="709">
    <w:name w:val="Header"/>
    <w:basedOn w:val="689"/>
    <w:link w:val="710"/>
    <w:pPr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basedOn w:val="696"/>
    <w:link w:val="709"/>
    <w:rPr>
      <w:rFonts w:ascii="Arial" w:hAnsi="Arial" w:eastAsia="Times New Roman" w:cs="Times New Roman"/>
      <w:sz w:val="24"/>
      <w:szCs w:val="24"/>
      <w:lang w:eastAsia="ru-RU"/>
    </w:rPr>
  </w:style>
  <w:style w:type="character" w:styleId="711">
    <w:name w:val="page number"/>
    <w:basedOn w:val="696"/>
  </w:style>
  <w:style w:type="paragraph" w:styleId="712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3">
    <w:name w:val="Balloon Text"/>
    <w:basedOn w:val="689"/>
    <w:link w:val="714"/>
    <w:semiHidden/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basedOn w:val="696"/>
    <w:link w:val="713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15">
    <w:name w:val="Footer"/>
    <w:basedOn w:val="689"/>
    <w:link w:val="716"/>
    <w:pPr>
      <w:tabs>
        <w:tab w:val="center" w:pos="4677" w:leader="none"/>
        <w:tab w:val="right" w:pos="9355" w:leader="none"/>
      </w:tabs>
    </w:pPr>
  </w:style>
  <w:style w:type="character" w:styleId="716" w:customStyle="1">
    <w:name w:val="Нижний колонтитул Знак"/>
    <w:basedOn w:val="696"/>
    <w:link w:val="715"/>
    <w:rPr>
      <w:rFonts w:ascii="Arial" w:hAnsi="Arial" w:eastAsia="Times New Roman" w:cs="Times New Roman"/>
      <w:sz w:val="24"/>
      <w:szCs w:val="24"/>
      <w:lang w:eastAsia="ru-RU"/>
    </w:rPr>
  </w:style>
  <w:style w:type="paragraph" w:styleId="717" w:customStyle="1">
    <w:name w:val="Знак Знак Знак Знак"/>
    <w:basedOn w:val="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1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720">
    <w:name w:val="Hyperlink"/>
    <w:rPr>
      <w:color w:val="0000ff"/>
      <w:u w:val="none"/>
    </w:rPr>
  </w:style>
  <w:style w:type="paragraph" w:styleId="721" w:customStyle="1">
    <w:name w:val="Стиль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2" w:customStyle="1">
    <w:name w:val="Абзац списка1"/>
    <w:basedOn w:val="689"/>
    <w:pPr>
      <w:ind w:left="708"/>
    </w:pPr>
  </w:style>
  <w:style w:type="paragraph" w:styleId="723" w:customStyle="1">
    <w:name w:val="Знак1 Знак Знак Знак Знак Знак Знак Знак Знак1 Char"/>
    <w:basedOn w:val="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24">
    <w:name w:val="HTML Variable"/>
    <w:rPr>
      <w:rFonts w:ascii="Arial" w:hAnsi="Arial"/>
      <w:b w:val="0"/>
      <w:i w:val="0"/>
      <w:iCs/>
      <w:color w:val="0000ff"/>
      <w:sz w:val="24"/>
      <w:u w:val="none"/>
    </w:rPr>
  </w:style>
  <w:style w:type="paragraph" w:styleId="725">
    <w:name w:val="annotation text"/>
    <w:basedOn w:val="689"/>
    <w:link w:val="726"/>
    <w:rPr>
      <w:rFonts w:ascii="Courier" w:hAnsi="Courier"/>
      <w:sz w:val="22"/>
      <w:szCs w:val="20"/>
    </w:rPr>
  </w:style>
  <w:style w:type="character" w:styleId="726" w:customStyle="1">
    <w:name w:val="Текст примечания Знак"/>
    <w:basedOn w:val="696"/>
    <w:link w:val="725"/>
    <w:rPr>
      <w:rFonts w:ascii="Courier" w:hAnsi="Courier" w:eastAsia="Times New Roman" w:cs="Times New Roman"/>
      <w:szCs w:val="20"/>
      <w:lang w:eastAsia="ru-RU"/>
    </w:rPr>
  </w:style>
  <w:style w:type="paragraph" w:styleId="727" w:customStyle="1">
    <w:name w:val="Title!Название НПА"/>
    <w:basedOn w:val="689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728" w:customStyle="1">
    <w:name w:val="Application!Приложение"/>
    <w:pPr>
      <w:jc w:val="right"/>
      <w:spacing w:before="120" w:after="120" w:line="240" w:lineRule="auto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729" w:customStyle="1">
    <w:name w:val="Table!Таблица"/>
    <w:pPr>
      <w:spacing w:after="0" w:line="240" w:lineRule="auto"/>
    </w:pPr>
    <w:rPr>
      <w:rFonts w:ascii="Arial" w:hAnsi="Arial" w:eastAsia="Times New Roman" w:cs="Arial"/>
      <w:bCs/>
      <w:sz w:val="24"/>
      <w:szCs w:val="32"/>
      <w:lang w:eastAsia="ru-RU"/>
    </w:rPr>
  </w:style>
  <w:style w:type="paragraph" w:styleId="730" w:customStyle="1">
    <w:name w:val="Table!"/>
    <w:next w:val="729"/>
    <w:pPr>
      <w:jc w:val="center"/>
      <w:spacing w:after="0" w:line="240" w:lineRule="auto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731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D537-BA93-4E29-B29E-5852A48A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GorelikovaAU</cp:lastModifiedBy>
  <cp:revision>3</cp:revision>
  <dcterms:created xsi:type="dcterms:W3CDTF">2025-10-13T07:03:00Z</dcterms:created>
  <dcterms:modified xsi:type="dcterms:W3CDTF">2025-11-01T03:23:12Z</dcterms:modified>
</cp:coreProperties>
</file>