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5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846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«Охрана окружающей среды»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48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bCs/>
          <w:i/>
        </w:rPr>
      </w:pPr>
      <w:r>
        <w:rPr>
          <w:i/>
        </w:rPr>
        <w:t xml:space="preserve"> от 19 июня 2025 года №40</w:t>
      </w:r>
      <w:r>
        <w:rPr>
          <w:i/>
        </w:rPr>
        <w:t xml:space="preserve">4, от 26 ноября 2025 года №774, от 26 декабря 2025 года №894,</w:t>
      </w:r>
      <w:r>
        <w:rPr>
          <w:i/>
        </w:rPr>
      </w:r>
    </w:p>
    <w:p>
      <w:pPr>
        <w:jc w:val="center"/>
        <w:spacing w:after="0" w:line="240" w:lineRule="auto"/>
        <w:rPr>
          <w:bCs/>
          <w:i/>
        </w:rPr>
      </w:pPr>
      <w:r>
        <w:rPr>
          <w:i/>
        </w:rPr>
        <w:t xml:space="preserve"> от 26 января 2026 года №40</w:t>
      </w:r>
      <w:r>
        <w:rPr>
          <w:i/>
        </w:rPr>
        <w:t xml:space="preserve">)</w:t>
      </w:r>
      <w:r>
        <w:rPr>
          <w:i/>
        </w:rPr>
      </w:r>
      <w:r/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https://login.consultant.ru/link/?req=doc&amp;base=RLAW926&amp;n=234503&amp;dst=100025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постановлением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администрации Белоярского района от 3 сентября 2018 года № 776 «Об утверждении Порядка принятия решений о разработке, формировании и </w:t>
      </w:r>
      <w:r>
        <w:rPr>
          <w:rFonts w:eastAsia="Times New Roman"/>
          <w:sz w:val="24"/>
          <w:szCs w:val="24"/>
        </w:rPr>
        <w:t xml:space="preserve">реализации муниципальных программ Белоярского района»,</w:t>
      </w:r>
      <w:r>
        <w:rPr>
          <w:rFonts w:eastAsia="Times New Roman"/>
          <w:sz w:val="24"/>
          <w:szCs w:val="24"/>
        </w:rPr>
        <w:t xml:space="preserve"> распоряжением администрации Белоярского ра</w:t>
      </w:r>
      <w:r>
        <w:rPr>
          <w:rFonts w:eastAsia="Times New Roman"/>
          <w:sz w:val="24"/>
          <w:szCs w:val="24"/>
        </w:rPr>
        <w:t xml:space="preserve">йона от 15 августа 2018 года </w:t>
      </w:r>
      <w:r>
        <w:rPr>
          <w:rFonts w:eastAsia="Times New Roman"/>
          <w:sz w:val="24"/>
          <w:szCs w:val="24"/>
        </w:rPr>
        <w:t xml:space="preserve">№ 245-р «О Перечне муниципальных программ Белоярского </w:t>
      </w:r>
      <w:r>
        <w:rPr>
          <w:rFonts w:eastAsia="Times New Roman"/>
          <w:sz w:val="24"/>
          <w:szCs w:val="24"/>
        </w:rPr>
        <w:t xml:space="preserve">района» п</w:t>
      </w:r>
      <w:r>
        <w:rPr>
          <w:rFonts w:eastAsia="Times New Roman"/>
          <w:sz w:val="24"/>
          <w:szCs w:val="24"/>
        </w:rPr>
        <w:t xml:space="preserve">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1. Утвердить прилагаемую муниципальную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https://login.consultant.ru/link/?req=doc&amp;base=RLAW926&amp;n=183682&amp;dst=100011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программу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Белоярского района «Охрана</w:t>
      </w:r>
      <w:r>
        <w:rPr>
          <w:rFonts w:eastAsia="Times New Roman"/>
          <w:sz w:val="24"/>
          <w:szCs w:val="24"/>
        </w:rPr>
        <w:t xml:space="preserve"> окружающей среды»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48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</w:t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178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6"/>
        <w:gridCol w:w="7792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УТВЕРЖДЕНА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постановлением администрации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ru-RU"/>
              </w:rPr>
              <w:t xml:space="preserve">от 5</w:t>
            </w:r>
            <w:r>
              <w:rPr>
                <w:sz w:val="24"/>
                <w:szCs w:val="24"/>
                <w:lang w:eastAsia="ru-RU"/>
              </w:rPr>
              <w:t xml:space="preserve"> декабря</w:t>
            </w:r>
            <w:r>
              <w:rPr>
                <w:sz w:val="24"/>
                <w:szCs w:val="24"/>
                <w:lang w:eastAsia="ru-RU"/>
              </w:rPr>
              <w:t xml:space="preserve"> 2024 года № 846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ПРОГРАММА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БЕЛОЯРСКОГО РАЙОНА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«ОХРАНА ОКРУЖАЮЩЕЙ СРЕДЫ</w:t>
            </w:r>
            <w:r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также – муниципальная программа)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ПАСПОРТ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муниципальной программы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center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«Охрана окружающей среды»</w:t>
            </w: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Основные 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Ответственный исполнитель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Период реализации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2025-2030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Цель муниципальной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792" w:type="dxa"/>
            <w:vAlign w:val="top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Направления (подпрограммы)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792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bCs/>
                <w:sz w:val="24"/>
                <w:szCs w:val="24"/>
              </w:rPr>
              <w:t xml:space="preserve">31 517,2 </w:t>
            </w:r>
            <w:r>
              <w:rPr>
                <w:color w:val="000000"/>
                <w:sz w:val="24"/>
                <w:szCs w:val="24"/>
                <w:lang w:eastAsia="zh-CN" w:bidi="ar"/>
              </w:rPr>
              <w:t xml:space="preserve">тысяч рублей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Экологическое благополучие/ государственная программа Ханты-Мансийского автономного округа – Югры «Экологическая безопасность»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48"/>
        <w:jc w:val="both"/>
        <w:spacing w:after="0" w:line="240" w:lineRule="auto"/>
        <w:rPr>
          <w:color w:val="000000"/>
          <w:sz w:val="20"/>
          <w:szCs w:val="20"/>
          <w:lang w:eastAsia="zh-CN" w:bidi="ar"/>
        </w:rPr>
      </w:pPr>
      <w:r>
        <w:rPr>
          <w:color w:val="000000"/>
          <w:sz w:val="20"/>
          <w:szCs w:val="20"/>
          <w:lang w:eastAsia="zh-CN" w:bidi="ar"/>
        </w:rPr>
      </w:r>
      <w:r>
        <w:rPr>
          <w:color w:val="000000"/>
          <w:sz w:val="20"/>
          <w:szCs w:val="20"/>
          <w:lang w:eastAsia="zh-CN" w:bidi="ar"/>
        </w:rPr>
      </w:r>
      <w:r>
        <w:rPr>
          <w:color w:val="000000"/>
          <w:sz w:val="20"/>
          <w:szCs w:val="20"/>
          <w:lang w:eastAsia="zh-CN" w:bidi="ar"/>
        </w:rPr>
      </w:r>
    </w:p>
    <w:p>
      <w:pPr>
        <w:pStyle w:val="848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jc w:val="center"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jc w:val="center"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contextualSpacing w:val="0"/>
        <w:jc w:val="center"/>
        <w:pageBreakBefore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sz w:val="24"/>
          <w:szCs w:val="24"/>
          <w:lang w:val="en-US"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2.Показатели муниципальной программы</w:t>
      </w:r>
      <w:r>
        <w:rPr>
          <w:sz w:val="24"/>
          <w:szCs w:val="24"/>
          <w:lang w:val="en-US" w:eastAsia="zh-CN" w:bidi="ar"/>
        </w:rPr>
      </w:r>
      <w:r>
        <w:rPr>
          <w:sz w:val="24"/>
          <w:szCs w:val="24"/>
          <w:lang w:val="en-US" w:eastAsia="zh-CN" w:bidi="ar"/>
        </w:rPr>
      </w:r>
    </w:p>
    <w:tbl>
      <w:tblPr>
        <w:tblW w:w="1538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70"/>
        <w:gridCol w:w="1200"/>
        <w:gridCol w:w="943"/>
        <w:gridCol w:w="720"/>
        <w:gridCol w:w="660"/>
        <w:gridCol w:w="690"/>
        <w:gridCol w:w="675"/>
        <w:gridCol w:w="720"/>
        <w:gridCol w:w="735"/>
        <w:gridCol w:w="690"/>
        <w:gridCol w:w="2561"/>
        <w:gridCol w:w="1709"/>
        <w:gridCol w:w="1427"/>
      </w:tblGrid>
      <w:tr>
        <w:tblPrEx/>
        <w:trPr>
          <w:trHeight w:val="885"/>
          <w:tblHeader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879"/>
                <w:sz w:val="20"/>
                <w:szCs w:val="20"/>
                <w:lang w:val="en-US" w:eastAsia="zh-CN" w:bidi="ar"/>
              </w:rPr>
              <w:t xml:space="preserve">Единица измерения (по </w:t>
            </w:r>
            <w:r>
              <w:rPr>
                <w:rStyle w:val="880"/>
                <w:sz w:val="20"/>
                <w:szCs w:val="20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Базовое значение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17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/>
            <w:hyperlink w:tooltip="#_ftn3" w:anchor="_ftn3" w:history="1">
              <w:r>
                <w:rPr>
                  <w:rStyle w:val="830"/>
                  <w:color w:val="000000"/>
                  <w:sz w:val="20"/>
                  <w:szCs w:val="20"/>
                  <w:u w:val="none"/>
                </w:rPr>
                <w:t xml:space="preserve">Ответственный за достижение показателя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2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/>
            <w:hyperlink w:tooltip="#_ftn4" w:anchor="_ftn4" w:history="1">
              <w:r>
                <w:rPr>
                  <w:rStyle w:val="830"/>
                  <w:color w:val="000000"/>
                  <w:sz w:val="20"/>
                  <w:szCs w:val="20"/>
                  <w:u w:val="none"/>
                </w:rPr>
                <w:t xml:space="preserve">Связь с показателями национальных целей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</w:tcBorders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</w:tcBorders>
            <w:tcW w:w="142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53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Цель "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 "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1935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«Решение Думы Белоярского района от 29 октября 2014 года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УКС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Количество обустроенных мест (площадок) накопления твердых коммунальных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Федеральный закон от 24.06.1998 N 89-ФЗ "Об отходах производства и потребления"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top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Управление жилищно-коммунального хозяйства (далее – УЖКХ)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65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Доля населения, вовлеченного в эколого-просветительские и эколого-образовательные мероприятия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процент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32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 ноября 2023 года № 566-п «О государственной программе Ханты-Мансийского автономного округа – Югры «Экологическая безопасность»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48"/>
      </w:pPr>
      <w:r/>
      <w:r/>
    </w:p>
    <w:p>
      <w:pPr>
        <w:pStyle w:val="848"/>
        <w:numPr>
          <w:ilvl w:val="0"/>
          <w:numId w:val="1"/>
        </w:numPr>
        <w:contextualSpacing w:val="0"/>
        <w:jc w:val="center"/>
        <w:pageBreakBefore/>
        <w:tabs>
          <w:tab w:val="left" w:pos="763" w:leader="none"/>
          <w:tab w:val="left" w:pos="4078" w:leader="none"/>
          <w:tab w:val="left" w:pos="10489" w:leader="none"/>
        </w:tabs>
        <w:rPr>
          <w:color w:val="000000"/>
          <w:sz w:val="24"/>
          <w:szCs w:val="24"/>
          <w:lang w:val="en-US"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Структура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>
        <w:tblPrEx/>
        <w:trPr>
          <w:trHeight w:val="720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№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Региональный проект «Генеральная уборка»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87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Ликвидированы объекты размещения отходов, выведенные из эксплуатации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с.Казым Белоярского района в 2025 году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81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Комплекс процессных мероприятий «Ликвидация объектов накопленного экологического вреда окружающей среде»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351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Ликвидированны объекты накопленного экологического вреда окру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жающей среде, рекультивированны объекты размещения отходов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с.Полноват Белоярского района в 2026 году. Рекультивация полигона ТБО в г.Белоярский"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Количество рекультивированны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7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УЖКХ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56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3.1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Предотвращение вредного воздействия отходов производства и потребления на окружающую среду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Обустройство и содержание мест (площадок) накопления твердых коммунальных отходов, находящихся в муниципальной собственности Белоярского района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Количество о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бустроенных мест (площадок) накопления твердых коммунальных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5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4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88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4.1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Сохранение природной среды, предотвращение и ликвидация негативного воздействия хозяйственной и (или) иной деятельности на ее компоненты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организация использования, охраны, защиты, воспроизводства лесов лесничества «Городские леса городского посе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ления Белоярский»; проведены мероприятия по очистке береговой полосы водных объектов в рамках проведения экологических субботников;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организация общественных обсуждений о намечаемой хозяйственной и иной деятельности на территории Белоярского района, которая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 подлежит экологической экспертизе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7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5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Ответственные за реализацию: УПСХиРП,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Комитет по культуре (далее – КК), Комитет по образованию (далее – КО)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5.1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Экологическое образование, воспитание и формирование экологической культуры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проведены мероприятия, направленные на экологическое просвещение и формирование экологической культуры в Белоярском районе, в том числе в области обращения с твердыми коммунальными отходами; проведены мероприятия, приуроченные к Международной экологической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 акции «Спасти и сохранить», в том числе в образовательных учреждениях и на базе учреждений культуры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Доля населения, вовлеченного в эколого-просветительские и эколого-образовательные мероприятия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 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9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Осуществление отдельных государственных полномочий Ханты-Мансийского автономного округа - Югры в сфере обращения с твердыми коммунальными отходами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осуществление органами местного самоуправления Белоярского района отдельных государственных полномочий Хан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ты-Мансийского автономного округа - Югры в сфере обращения с твердыми коммунальными отходами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48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848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48"/>
        <w:jc w:val="center"/>
        <w:pageBreakBefore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7694"/>
        <w:gridCol w:w="945"/>
        <w:gridCol w:w="945"/>
        <w:gridCol w:w="945"/>
        <w:gridCol w:w="945"/>
        <w:gridCol w:w="945"/>
        <w:gridCol w:w="945"/>
        <w:gridCol w:w="945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1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«Охрана окружающей среды»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16 662,9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2 981,1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31 517,2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6 585,0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7 310,5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10 077,9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2 836,0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24 206,7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«Генеральная уборка»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полигона ТБО в г.Белоярский»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4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6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 том числе в области обращения с твердыми коммунальными отходами, в Белоярском районе»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4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</w:tbl>
    <w:p>
      <w:pPr>
        <w:spacing w:after="0" w:afterAutospacing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/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9">
    <w:name w:val="Заголовок 1"/>
    <w:basedOn w:val="848"/>
    <w:next w:val="848"/>
    <w:link w:val="85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50">
    <w:name w:val="Заголовок 2"/>
    <w:basedOn w:val="848"/>
    <w:next w:val="848"/>
    <w:link w:val="85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51">
    <w:name w:val="Заголовок 3"/>
    <w:basedOn w:val="848"/>
    <w:next w:val="848"/>
    <w:link w:val="85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numbering" w:styleId="854">
    <w:name w:val="Нет списка"/>
    <w:next w:val="854"/>
    <w:link w:val="848"/>
    <w:uiPriority w:val="99"/>
    <w:semiHidden/>
    <w:unhideWhenUsed/>
  </w:style>
  <w:style w:type="character" w:styleId="855">
    <w:name w:val="Заголовок 1 Знак"/>
    <w:next w:val="855"/>
    <w:link w:val="849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6">
    <w:name w:val="Заголовок 2 Знак"/>
    <w:next w:val="856"/>
    <w:link w:val="850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7">
    <w:name w:val="Заголовок 3 Знак"/>
    <w:next w:val="857"/>
    <w:link w:val="851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58">
    <w:name w:val="Знак примечания"/>
    <w:next w:val="858"/>
    <w:link w:val="848"/>
    <w:uiPriority w:val="99"/>
    <w:unhideWhenUsed/>
    <w:rPr>
      <w:sz w:val="16"/>
      <w:szCs w:val="16"/>
    </w:rPr>
  </w:style>
  <w:style w:type="character" w:styleId="859">
    <w:name w:val="Гиперссылка"/>
    <w:next w:val="859"/>
    <w:link w:val="848"/>
    <w:uiPriority w:val="99"/>
    <w:unhideWhenUsed/>
    <w:rPr>
      <w:color w:val="0000ff"/>
      <w:u w:val="single"/>
    </w:rPr>
  </w:style>
  <w:style w:type="paragraph" w:styleId="860">
    <w:name w:val="Текст выноски"/>
    <w:basedOn w:val="848"/>
    <w:next w:val="860"/>
    <w:link w:val="86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cs="Tahoma"/>
      <w:sz w:val="16"/>
      <w:szCs w:val="16"/>
    </w:rPr>
  </w:style>
  <w:style w:type="paragraph" w:styleId="862">
    <w:name w:val="Основной текст с отступом 3"/>
    <w:basedOn w:val="848"/>
    <w:next w:val="862"/>
    <w:link w:val="863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3">
    <w:name w:val="Основной текст с отступом 3 Знак"/>
    <w:next w:val="863"/>
    <w:link w:val="862"/>
    <w:rPr>
      <w:rFonts w:eastAsia="Times New Roman"/>
      <w:sz w:val="24"/>
    </w:rPr>
  </w:style>
  <w:style w:type="paragraph" w:styleId="864">
    <w:name w:val="Текст примечания"/>
    <w:basedOn w:val="848"/>
    <w:next w:val="864"/>
    <w:link w:val="865"/>
    <w:uiPriority w:val="99"/>
    <w:unhideWhenUsed/>
    <w:pPr>
      <w:spacing w:line="240" w:lineRule="auto"/>
    </w:pPr>
    <w:rPr>
      <w:sz w:val="20"/>
      <w:szCs w:val="20"/>
    </w:rPr>
  </w:style>
  <w:style w:type="character" w:styleId="865">
    <w:name w:val="Текст примечания Знак"/>
    <w:next w:val="865"/>
    <w:link w:val="864"/>
    <w:uiPriority w:val="99"/>
    <w:semiHidden/>
    <w:rPr>
      <w:sz w:val="20"/>
      <w:szCs w:val="20"/>
    </w:rPr>
  </w:style>
  <w:style w:type="paragraph" w:styleId="866">
    <w:name w:val="Тема примечания"/>
    <w:basedOn w:val="864"/>
    <w:next w:val="864"/>
    <w:link w:val="867"/>
    <w:uiPriority w:val="99"/>
    <w:unhideWhenUsed/>
    <w:rPr>
      <w:b/>
      <w:bCs/>
    </w:rPr>
  </w:style>
  <w:style w:type="character" w:styleId="867">
    <w:name w:val="Тема примечания Знак"/>
    <w:next w:val="867"/>
    <w:link w:val="866"/>
    <w:uiPriority w:val="99"/>
    <w:semiHidden/>
    <w:rPr>
      <w:b/>
      <w:bCs/>
      <w:sz w:val="20"/>
      <w:szCs w:val="20"/>
    </w:rPr>
  </w:style>
  <w:style w:type="paragraph" w:styleId="868">
    <w:name w:val="Верхний колонтитул"/>
    <w:basedOn w:val="848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sz w:val="22"/>
      <w:szCs w:val="22"/>
      <w:lang w:eastAsia="en-US"/>
    </w:rPr>
  </w:style>
  <w:style w:type="paragraph" w:styleId="870">
    <w:name w:val="Нижний колонтитул"/>
    <w:basedOn w:val="848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sz w:val="22"/>
      <w:szCs w:val="22"/>
      <w:lang w:eastAsia="en-US"/>
    </w:rPr>
  </w:style>
  <w:style w:type="paragraph" w:styleId="872">
    <w:name w:val="Обычный (веб)"/>
    <w:basedOn w:val="848"/>
    <w:next w:val="872"/>
    <w:link w:val="848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873">
    <w:name w:val="Сетка таблицы"/>
    <w:basedOn w:val="853"/>
    <w:next w:val="873"/>
    <w:link w:val="848"/>
    <w:uiPriority w:val="59"/>
    <w:pPr>
      <w:jc w:val="both"/>
      <w:widowControl w:val="off"/>
    </w:pPr>
    <w:tblPr/>
  </w:style>
  <w:style w:type="paragraph" w:styleId="874">
    <w:name w:val="Абзац списка"/>
    <w:basedOn w:val="848"/>
    <w:next w:val="874"/>
    <w:link w:val="848"/>
    <w:uiPriority w:val="34"/>
    <w:qFormat/>
    <w:pPr>
      <w:contextualSpacing/>
      <w:ind w:left="720"/>
    </w:pPr>
  </w:style>
  <w:style w:type="paragraph" w:styleId="875">
    <w:name w:val="Без интервала"/>
    <w:next w:val="875"/>
    <w:link w:val="848"/>
    <w:uiPriority w:val="1"/>
    <w:qFormat/>
    <w:rPr>
      <w:sz w:val="22"/>
      <w:szCs w:val="22"/>
      <w:lang w:val="ru-RU" w:eastAsia="en-US" w:bidi="ar-SA"/>
    </w:rPr>
  </w:style>
  <w:style w:type="paragraph" w:styleId="876">
    <w:name w:val="ConsPlusNormal"/>
    <w:next w:val="876"/>
    <w:link w:val="848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7">
    <w:name w:val="ConsPlusTitle"/>
    <w:next w:val="877"/>
    <w:link w:val="848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78">
    <w:name w:val="Рецензия"/>
    <w:next w:val="878"/>
    <w:link w:val="848"/>
    <w:uiPriority w:val="99"/>
    <w:semiHidden/>
    <w:rPr>
      <w:sz w:val="22"/>
      <w:szCs w:val="22"/>
      <w:lang w:val="ru-RU" w:eastAsia="en-US" w:bidi="ar-SA"/>
    </w:rPr>
  </w:style>
  <w:style w:type="character" w:styleId="879">
    <w:name w:val="font41"/>
    <w:next w:val="879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0">
    <w:name w:val="font01"/>
    <w:next w:val="880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1">
    <w:name w:val="font21"/>
    <w:next w:val="881"/>
    <w:link w:val="848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882">
    <w:name w:val="font31"/>
    <w:next w:val="882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6</cp:revision>
  <dcterms:created xsi:type="dcterms:W3CDTF">2024-12-06T05:29:00Z</dcterms:created>
  <dcterms:modified xsi:type="dcterms:W3CDTF">2026-01-26T11:00:48Z</dcterms:modified>
  <cp:version>1048576</cp:version>
</cp:coreProperties>
</file>