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CCD" w:rsidRDefault="00451CCD" w:rsidP="00451CCD">
      <w:pPr>
        <w:ind w:left="-567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11A2157" wp14:editId="127DF654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57358" cy="10687050"/>
            <wp:effectExtent l="0" t="0" r="0" b="0"/>
            <wp:wrapNone/>
            <wp:docPr id="2" name="Рисунок 2" descr="C:\Users\Nureev.YI\Desktop\Бланк для пресс-релиз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ureev.YI\Desktop\Бланк для пресс-релиз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358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1CCD" w:rsidRDefault="00451CCD" w:rsidP="00451CCD">
      <w:pPr>
        <w:ind w:left="-567"/>
      </w:pPr>
    </w:p>
    <w:p w:rsidR="00451CCD" w:rsidRDefault="00451CCD" w:rsidP="00451CCD">
      <w:pPr>
        <w:ind w:left="-567"/>
      </w:pPr>
    </w:p>
    <w:p w:rsidR="00451CCD" w:rsidRDefault="00451CCD" w:rsidP="00451CCD">
      <w:pPr>
        <w:ind w:left="-567"/>
        <w:jc w:val="center"/>
        <w:rPr>
          <w:rStyle w:val="a6"/>
          <w:rFonts w:ascii="Times New Roman" w:hAnsi="Times New Roman" w:cs="Times New Roman"/>
          <w:sz w:val="26"/>
          <w:szCs w:val="26"/>
        </w:rPr>
      </w:pPr>
    </w:p>
    <w:p w:rsidR="00451CCD" w:rsidRDefault="00451CCD" w:rsidP="00451CCD">
      <w:pPr>
        <w:ind w:left="-567"/>
        <w:jc w:val="center"/>
        <w:rPr>
          <w:rStyle w:val="a6"/>
          <w:rFonts w:ascii="Times New Roman" w:hAnsi="Times New Roman" w:cs="Times New Roman"/>
          <w:sz w:val="26"/>
          <w:szCs w:val="26"/>
        </w:rPr>
      </w:pPr>
    </w:p>
    <w:p w:rsidR="00C500B1" w:rsidRPr="00451CCD" w:rsidRDefault="00C500B1" w:rsidP="00451CCD">
      <w:pPr>
        <w:ind w:left="-567"/>
        <w:jc w:val="center"/>
        <w:rPr>
          <w:rFonts w:ascii="Times New Roman" w:hAnsi="Times New Roman" w:cs="Times New Roman"/>
        </w:rPr>
      </w:pPr>
      <w:r w:rsidRPr="00451CCD">
        <w:rPr>
          <w:rStyle w:val="a6"/>
          <w:rFonts w:ascii="Times New Roman" w:hAnsi="Times New Roman" w:cs="Times New Roman"/>
          <w:sz w:val="26"/>
          <w:szCs w:val="26"/>
        </w:rPr>
        <w:t xml:space="preserve">АО «Газпром </w:t>
      </w:r>
      <w:proofErr w:type="spellStart"/>
      <w:r w:rsidRPr="00451CCD">
        <w:rPr>
          <w:rStyle w:val="a6"/>
          <w:rFonts w:ascii="Times New Roman" w:hAnsi="Times New Roman" w:cs="Times New Roman"/>
          <w:sz w:val="26"/>
          <w:szCs w:val="26"/>
        </w:rPr>
        <w:t>энергосбыт</w:t>
      </w:r>
      <w:proofErr w:type="spellEnd"/>
      <w:r w:rsidRPr="00451CCD">
        <w:rPr>
          <w:rStyle w:val="a6"/>
          <w:rFonts w:ascii="Times New Roman" w:hAnsi="Times New Roman" w:cs="Times New Roman"/>
          <w:sz w:val="26"/>
          <w:szCs w:val="26"/>
        </w:rPr>
        <w:t xml:space="preserve"> Тюмень» — новое имя Тюменской </w:t>
      </w:r>
      <w:proofErr w:type="spellStart"/>
      <w:r w:rsidRPr="00451CCD">
        <w:rPr>
          <w:rStyle w:val="a6"/>
          <w:rFonts w:ascii="Times New Roman" w:hAnsi="Times New Roman" w:cs="Times New Roman"/>
          <w:sz w:val="26"/>
          <w:szCs w:val="26"/>
        </w:rPr>
        <w:t>энергосбытовой</w:t>
      </w:r>
      <w:proofErr w:type="spellEnd"/>
      <w:r w:rsidRPr="00451CCD">
        <w:rPr>
          <w:rStyle w:val="a6"/>
          <w:rFonts w:ascii="Times New Roman" w:hAnsi="Times New Roman" w:cs="Times New Roman"/>
          <w:sz w:val="26"/>
          <w:szCs w:val="26"/>
        </w:rPr>
        <w:t xml:space="preserve"> компании</w:t>
      </w:r>
    </w:p>
    <w:p w:rsidR="00C500B1" w:rsidRPr="00C500B1" w:rsidRDefault="00C500B1" w:rsidP="00C500B1">
      <w:pPr>
        <w:pStyle w:val="a5"/>
        <w:spacing w:before="0" w:beforeAutospacing="0" w:after="0" w:afterAutospacing="0"/>
        <w:ind w:left="-567"/>
        <w:rPr>
          <w:sz w:val="26"/>
          <w:szCs w:val="26"/>
        </w:rPr>
      </w:pPr>
      <w:r w:rsidRPr="00C500B1">
        <w:rPr>
          <w:sz w:val="26"/>
          <w:szCs w:val="26"/>
        </w:rPr>
        <w:t> </w:t>
      </w:r>
    </w:p>
    <w:p w:rsidR="00C500B1" w:rsidRPr="00C500B1" w:rsidRDefault="00C500B1" w:rsidP="00C500B1">
      <w:pPr>
        <w:pStyle w:val="a5"/>
        <w:spacing w:before="0" w:beforeAutospacing="0" w:after="0" w:afterAutospacing="0"/>
        <w:ind w:left="-567" w:firstLine="567"/>
        <w:jc w:val="both"/>
      </w:pPr>
      <w:r w:rsidRPr="00C500B1">
        <w:t xml:space="preserve">21 ноября 2018 года АО «Тюменская энергосбытовая компания» официально сменило название организации на АО «Газпром </w:t>
      </w:r>
      <w:proofErr w:type="spellStart"/>
      <w:r w:rsidRPr="00C500B1">
        <w:t>энергосбыт</w:t>
      </w:r>
      <w:proofErr w:type="spellEnd"/>
      <w:r w:rsidRPr="00C500B1">
        <w:t xml:space="preserve"> Тюмень». Соответствующие изменения внесены в Устав акционерного общества и в Сведения, содержащиеся в Едином государственном реестре юридических лиц.</w:t>
      </w:r>
    </w:p>
    <w:p w:rsidR="00C500B1" w:rsidRPr="00C500B1" w:rsidRDefault="00C500B1" w:rsidP="00C500B1">
      <w:pPr>
        <w:pStyle w:val="a5"/>
        <w:spacing w:before="0" w:beforeAutospacing="0" w:after="0" w:afterAutospacing="0"/>
        <w:ind w:left="-567" w:firstLine="567"/>
        <w:jc w:val="both"/>
      </w:pPr>
      <w:r w:rsidRPr="00C500B1">
        <w:t> </w:t>
      </w:r>
    </w:p>
    <w:p w:rsidR="00C500B1" w:rsidRPr="00C500B1" w:rsidRDefault="00C500B1" w:rsidP="00C500B1">
      <w:pPr>
        <w:pStyle w:val="a5"/>
        <w:spacing w:before="0" w:beforeAutospacing="0" w:after="0" w:afterAutospacing="0"/>
        <w:ind w:left="-567" w:firstLine="567"/>
        <w:jc w:val="both"/>
      </w:pPr>
      <w:r w:rsidRPr="00C500B1">
        <w:t>Отметим, что гарантирующий поставщик электроэнергии в Тюменском регионе, образованный в ходе отраслевой реформы в 2005 году, уже более 10 лет является частью крупнейшего российского газового холдинга  – в июне 2008 года 100% акций АО «Тюменская энергосбытовая компания» были приобретены АО «</w:t>
      </w:r>
      <w:proofErr w:type="spellStart"/>
      <w:r w:rsidRPr="00C500B1">
        <w:t>Межрегионэнергосбыт</w:t>
      </w:r>
      <w:proofErr w:type="spellEnd"/>
      <w:r w:rsidRPr="00C500B1">
        <w:t xml:space="preserve">», входящим в группу компаний ПАО «Газпром». </w:t>
      </w:r>
    </w:p>
    <w:p w:rsidR="00C500B1" w:rsidRPr="00C500B1" w:rsidRDefault="00C500B1" w:rsidP="00C500B1">
      <w:pPr>
        <w:pStyle w:val="a5"/>
        <w:spacing w:before="0" w:beforeAutospacing="0" w:after="0" w:afterAutospacing="0"/>
        <w:ind w:left="-567" w:firstLine="567"/>
        <w:jc w:val="both"/>
      </w:pPr>
    </w:p>
    <w:p w:rsidR="00C500B1" w:rsidRPr="00C500B1" w:rsidRDefault="00C500B1" w:rsidP="00C500B1">
      <w:pPr>
        <w:pStyle w:val="a5"/>
        <w:spacing w:before="0" w:beforeAutospacing="0" w:after="0" w:afterAutospacing="0"/>
        <w:ind w:left="-567" w:firstLine="567"/>
        <w:jc w:val="both"/>
      </w:pPr>
      <w:r w:rsidRPr="00C500B1">
        <w:t xml:space="preserve">Напомним, что сфера деятельности АО «Тюменская энергосбытовая компания» сегодня включает в себя не только обеспечение энергоснабжения более 19 тысяч юридических лиц и свыше 560 тысяч физических лиц на территории ХМАО-Югры, ЯНАО и юга Тюменской области. Предприятие осуществляет расчетно-кассовое обслуживание для организаций, предоставляющих жилищно-коммунальные услуги; строит и обслуживает автоматизированные системы коммерческого учета электроэнергии в городах и на предприятиях Тюменского региона, а также на территориях Уральского и Центрального федеральных округов; активно заключает </w:t>
      </w:r>
      <w:proofErr w:type="spellStart"/>
      <w:r w:rsidRPr="00C500B1">
        <w:t>энергосервисные</w:t>
      </w:r>
      <w:proofErr w:type="spellEnd"/>
      <w:r w:rsidRPr="00C500B1">
        <w:t xml:space="preserve"> контракты в области модернизации теплового оборудования и систем внутреннего и внешнего освещения.</w:t>
      </w:r>
    </w:p>
    <w:p w:rsidR="00C500B1" w:rsidRPr="00C500B1" w:rsidRDefault="00C500B1" w:rsidP="00C500B1">
      <w:pPr>
        <w:pStyle w:val="a5"/>
        <w:spacing w:before="0" w:beforeAutospacing="0" w:after="0" w:afterAutospacing="0"/>
        <w:ind w:left="-567" w:firstLine="567"/>
        <w:jc w:val="both"/>
      </w:pPr>
    </w:p>
    <w:p w:rsidR="00C500B1" w:rsidRPr="00C500B1" w:rsidRDefault="00C500B1" w:rsidP="00C500B1">
      <w:pPr>
        <w:pStyle w:val="a5"/>
        <w:spacing w:before="0" w:beforeAutospacing="0" w:after="0" w:afterAutospacing="0"/>
        <w:ind w:left="-567" w:firstLine="567"/>
        <w:jc w:val="both"/>
      </w:pPr>
      <w:r w:rsidRPr="00C500B1">
        <w:t>Процедура переименования производится и в дочерней организац</w:t>
      </w:r>
      <w:proofErr w:type="gramStart"/>
      <w:r w:rsidRPr="00C500B1">
        <w:t>ии АО</w:t>
      </w:r>
      <w:proofErr w:type="gramEnd"/>
      <w:r w:rsidRPr="00C500B1">
        <w:t xml:space="preserve"> «Тюменская энергосбытовая компания» — ООО «ТЭК-</w:t>
      </w:r>
      <w:proofErr w:type="spellStart"/>
      <w:r w:rsidRPr="00C500B1">
        <w:t>Энерго</w:t>
      </w:r>
      <w:proofErr w:type="spellEnd"/>
      <w:r w:rsidRPr="00C500B1">
        <w:t>». Предприятие является гарантирующим поставщиком электроэнергии на территории Брянской области и предоставляет услуги 570 тысячам физических лиц и 14 тысячам юридических лиц. ООО «ТЭК-</w:t>
      </w:r>
      <w:proofErr w:type="spellStart"/>
      <w:r w:rsidRPr="00C500B1">
        <w:t>Энерго</w:t>
      </w:r>
      <w:proofErr w:type="spellEnd"/>
      <w:r w:rsidRPr="00C500B1">
        <w:t xml:space="preserve">» получило название ООО «Газпром </w:t>
      </w:r>
      <w:proofErr w:type="spellStart"/>
      <w:r w:rsidRPr="00C500B1">
        <w:t>энергосбыт</w:t>
      </w:r>
      <w:proofErr w:type="spellEnd"/>
      <w:r w:rsidRPr="00C500B1">
        <w:t xml:space="preserve"> Брянск».</w:t>
      </w:r>
    </w:p>
    <w:p w:rsidR="00C500B1" w:rsidRPr="00C500B1" w:rsidRDefault="00C500B1" w:rsidP="00C500B1">
      <w:pPr>
        <w:pStyle w:val="a5"/>
        <w:spacing w:before="0" w:beforeAutospacing="0" w:after="0" w:afterAutospacing="0"/>
        <w:ind w:left="-567" w:firstLine="567"/>
        <w:jc w:val="both"/>
      </w:pPr>
      <w:r w:rsidRPr="00C500B1">
        <w:t> </w:t>
      </w:r>
    </w:p>
    <w:p w:rsidR="00C500B1" w:rsidRPr="00C500B1" w:rsidRDefault="00C500B1" w:rsidP="00C500B1">
      <w:pPr>
        <w:pStyle w:val="a5"/>
        <w:spacing w:before="0" w:beforeAutospacing="0" w:after="0" w:afterAutospacing="0"/>
        <w:ind w:left="-567" w:firstLine="567"/>
        <w:jc w:val="both"/>
        <w:rPr>
          <w:i/>
        </w:rPr>
      </w:pPr>
      <w:r w:rsidRPr="00C500B1">
        <w:rPr>
          <w:i/>
        </w:rPr>
        <w:t xml:space="preserve">«Ключевой задачей Тюменской </w:t>
      </w:r>
      <w:proofErr w:type="spellStart"/>
      <w:r w:rsidRPr="00C500B1">
        <w:rPr>
          <w:i/>
        </w:rPr>
        <w:t>энергосбытовой</w:t>
      </w:r>
      <w:proofErr w:type="spellEnd"/>
      <w:r w:rsidRPr="00C500B1">
        <w:rPr>
          <w:i/>
        </w:rPr>
        <w:t xml:space="preserve"> компании на протяжении всей истории ее существования являлось обеспечение потребителей высококачественными услугами по энергоснабжению и предложение им сопутствующих сервисов,</w:t>
      </w:r>
      <w:r w:rsidRPr="00C500B1">
        <w:t xml:space="preserve"> — отмечает генеральный директор АО «Газпром </w:t>
      </w:r>
      <w:proofErr w:type="spellStart"/>
      <w:r w:rsidRPr="00C500B1">
        <w:t>энергосбыт</w:t>
      </w:r>
      <w:proofErr w:type="spellEnd"/>
      <w:r w:rsidRPr="00C500B1">
        <w:t xml:space="preserve"> Тюмень» </w:t>
      </w:r>
      <w:r w:rsidRPr="00C500B1">
        <w:rPr>
          <w:b/>
        </w:rPr>
        <w:t>Татьяна Бычкова</w:t>
      </w:r>
      <w:r w:rsidRPr="00C500B1">
        <w:t xml:space="preserve">. — </w:t>
      </w:r>
      <w:r w:rsidRPr="00C500B1">
        <w:rPr>
          <w:i/>
        </w:rPr>
        <w:t xml:space="preserve">Приоритеты компании остаются прежними, а профессиональные стандарты ПАО «Газпром», с которыми ассоциируется новое наименование предприятия, станут достойной основой для его дальнейшего </w:t>
      </w:r>
      <w:proofErr w:type="gramStart"/>
      <w:r w:rsidRPr="00C500B1">
        <w:rPr>
          <w:i/>
        </w:rPr>
        <w:t>развития</w:t>
      </w:r>
      <w:proofErr w:type="gramEnd"/>
      <w:r w:rsidRPr="00C500B1">
        <w:rPr>
          <w:i/>
        </w:rPr>
        <w:t xml:space="preserve"> как в основном, так и в новых направлениях работы, а также для расширения географии деятельности. Неизменной остается и наша </w:t>
      </w:r>
      <w:proofErr w:type="spellStart"/>
      <w:r w:rsidRPr="00C500B1">
        <w:rPr>
          <w:i/>
        </w:rPr>
        <w:t>клиентоориентированная</w:t>
      </w:r>
      <w:proofErr w:type="spellEnd"/>
      <w:r w:rsidRPr="00C500B1">
        <w:rPr>
          <w:i/>
        </w:rPr>
        <w:t xml:space="preserve"> политика, благодаря которой ранее АО «Тюменская энергосбытовая компания», а ныне АО «Газпром </w:t>
      </w:r>
      <w:proofErr w:type="spellStart"/>
      <w:r w:rsidRPr="00C500B1">
        <w:rPr>
          <w:i/>
        </w:rPr>
        <w:t>энергосбыт</w:t>
      </w:r>
      <w:proofErr w:type="spellEnd"/>
      <w:r w:rsidRPr="00C500B1">
        <w:rPr>
          <w:i/>
        </w:rPr>
        <w:t xml:space="preserve"> Тюмень» по праву считается и, уверена, будет считаться впредь одним из лидеров отечественной энергетической отрасли».</w:t>
      </w:r>
    </w:p>
    <w:p w:rsidR="00C500B1" w:rsidRPr="00C500B1" w:rsidRDefault="00C500B1" w:rsidP="00C500B1">
      <w:pPr>
        <w:pStyle w:val="a5"/>
        <w:spacing w:before="0" w:beforeAutospacing="0" w:after="0" w:afterAutospacing="0"/>
        <w:ind w:left="-567" w:firstLine="567"/>
        <w:jc w:val="both"/>
      </w:pPr>
    </w:p>
    <w:p w:rsidR="00C500B1" w:rsidRPr="00C500B1" w:rsidRDefault="00C500B1" w:rsidP="00C500B1">
      <w:pPr>
        <w:pStyle w:val="a5"/>
        <w:spacing w:before="0" w:beforeAutospacing="0" w:after="0" w:afterAutospacing="0"/>
        <w:ind w:left="-567" w:firstLine="567"/>
        <w:jc w:val="both"/>
      </w:pPr>
      <w:r w:rsidRPr="00C500B1">
        <w:lastRenderedPageBreak/>
        <w:t xml:space="preserve">Переименование компании не повлияет на исполнение ею обязательств по отношению к потребителям. Никаких других формальных изменений, кроме смены названия, для клиентов не произойдет. Все заключенные ранее договоры действуют в полном объеме на прежних условиях. Юридические лица получат в декабре платежные документы от АО «Газпром </w:t>
      </w:r>
      <w:proofErr w:type="spellStart"/>
      <w:r w:rsidRPr="00C500B1">
        <w:t>энергосбыт</w:t>
      </w:r>
      <w:proofErr w:type="spellEnd"/>
      <w:r w:rsidRPr="00C500B1">
        <w:t xml:space="preserve"> Тюмень», для физических лиц вид квитанции пока останется прежним, также все способы передачи показаний приборов учета, оплаты электроэнергии, а также реквизиты не изменятся. </w:t>
      </w:r>
    </w:p>
    <w:p w:rsidR="00C500B1" w:rsidRPr="00C500B1" w:rsidRDefault="00C500B1" w:rsidP="00C500B1">
      <w:pPr>
        <w:pStyle w:val="a5"/>
        <w:spacing w:before="0" w:beforeAutospacing="0" w:after="0" w:afterAutospacing="0"/>
        <w:ind w:left="-567"/>
        <w:jc w:val="both"/>
      </w:pPr>
    </w:p>
    <w:p w:rsidR="00C500B1" w:rsidRPr="00C500B1" w:rsidRDefault="00C500B1" w:rsidP="00C500B1">
      <w:pPr>
        <w:pStyle w:val="a5"/>
        <w:spacing w:before="0" w:beforeAutospacing="0" w:after="0" w:afterAutospacing="0"/>
        <w:ind w:left="-567" w:firstLine="567"/>
        <w:jc w:val="both"/>
      </w:pPr>
      <w:proofErr w:type="spellStart"/>
      <w:r w:rsidRPr="00C500B1">
        <w:t>Ребрендинг</w:t>
      </w:r>
      <w:proofErr w:type="spellEnd"/>
      <w:r w:rsidRPr="00C500B1">
        <w:t xml:space="preserve"> АО «Тюменская </w:t>
      </w:r>
      <w:proofErr w:type="spellStart"/>
      <w:r w:rsidRPr="00C500B1">
        <w:t>энергосбытовая</w:t>
      </w:r>
      <w:proofErr w:type="spellEnd"/>
      <w:r w:rsidRPr="00C500B1">
        <w:t xml:space="preserve"> компания» </w:t>
      </w:r>
      <w:proofErr w:type="gramStart"/>
      <w:r w:rsidRPr="00C500B1">
        <w:t>и ООО</w:t>
      </w:r>
      <w:proofErr w:type="gramEnd"/>
      <w:r w:rsidRPr="00C500B1">
        <w:t xml:space="preserve"> «ТЭК-</w:t>
      </w:r>
      <w:proofErr w:type="spellStart"/>
      <w:r w:rsidRPr="00C500B1">
        <w:t>Энерго</w:t>
      </w:r>
      <w:proofErr w:type="spellEnd"/>
      <w:r w:rsidRPr="00C500B1">
        <w:t>» будет производиться в несколько этапов и завершится в 2019 году.</w:t>
      </w:r>
    </w:p>
    <w:p w:rsidR="00C500B1" w:rsidRDefault="00C500B1" w:rsidP="00C500B1">
      <w:pPr>
        <w:pStyle w:val="a5"/>
        <w:spacing w:before="0" w:beforeAutospacing="0" w:after="0" w:afterAutospacing="0"/>
        <w:ind w:left="-567" w:firstLine="567"/>
        <w:jc w:val="both"/>
      </w:pPr>
    </w:p>
    <w:p w:rsidR="00451CCD" w:rsidRDefault="00451CCD" w:rsidP="009E33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CCD" w:rsidRDefault="00451CCD" w:rsidP="009E33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CCD" w:rsidRDefault="00451CCD" w:rsidP="009E33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CCD" w:rsidRDefault="00451CCD" w:rsidP="009E33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CCD" w:rsidRDefault="00451CCD" w:rsidP="009E33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CCD" w:rsidRDefault="00451CCD" w:rsidP="009E33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CCD" w:rsidRDefault="00451CCD" w:rsidP="009E33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51CCD" w:rsidRDefault="00451CCD" w:rsidP="009E33F1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FC6" w:rsidRDefault="00812FC6" w:rsidP="00812FC6">
      <w:pPr>
        <w:spacing w:after="0"/>
        <w:ind w:left="-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Отдел по связям с общественностью и работе со СМИ</w:t>
      </w:r>
    </w:p>
    <w:p w:rsidR="00812FC6" w:rsidRDefault="00812FC6" w:rsidP="00812FC6">
      <w:pPr>
        <w:spacing w:after="0"/>
        <w:ind w:left="-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12FC6" w:rsidRDefault="00812FC6" w:rsidP="00812FC6">
      <w:pPr>
        <w:spacing w:after="0"/>
        <w:ind w:left="-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Тел.: (3462) 77-77-77 (доб. 16-838)</w:t>
      </w:r>
    </w:p>
    <w:p w:rsidR="00812FC6" w:rsidRDefault="00812FC6" w:rsidP="00812FC6">
      <w:pPr>
        <w:spacing w:after="0"/>
        <w:ind w:left="-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Моб. тел.:  +7 912 515-77-66</w:t>
      </w:r>
    </w:p>
    <w:p w:rsidR="00812FC6" w:rsidRDefault="00812FC6" w:rsidP="00812FC6">
      <w:pPr>
        <w:spacing w:after="0"/>
        <w:ind w:left="-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Коршунова Александра</w:t>
      </w:r>
    </w:p>
    <w:p w:rsidR="00812FC6" w:rsidRDefault="00812FC6" w:rsidP="00812FC6">
      <w:pPr>
        <w:spacing w:after="0"/>
        <w:ind w:left="-567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812FC6" w:rsidRPr="00812FC6" w:rsidRDefault="00FD6AF2" w:rsidP="00812FC6">
      <w:pPr>
        <w:spacing w:after="0"/>
        <w:ind w:left="-567"/>
        <w:jc w:val="both"/>
        <w:rPr>
          <w:rFonts w:ascii="Times New Roman" w:hAnsi="Times New Roman"/>
          <w:b/>
          <w:bCs/>
          <w:color w:val="0070C0"/>
          <w:sz w:val="24"/>
          <w:szCs w:val="24"/>
          <w:lang w:eastAsia="ru-RU"/>
        </w:rPr>
      </w:pPr>
      <w:hyperlink r:id="rId6" w:history="1"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val="en-US" w:eastAsia="ru-RU"/>
          </w:rPr>
          <w:t>info</w:t>
        </w:r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eastAsia="ru-RU"/>
          </w:rPr>
          <w:t>@</w:t>
        </w:r>
        <w:proofErr w:type="spellStart"/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val="en-US" w:eastAsia="ru-RU"/>
          </w:rPr>
          <w:t>energosales</w:t>
        </w:r>
        <w:proofErr w:type="spellEnd"/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eastAsia="ru-RU"/>
          </w:rPr>
          <w:t>.</w:t>
        </w:r>
        <w:proofErr w:type="spellStart"/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val="en-US" w:eastAsia="ru-RU"/>
          </w:rPr>
          <w:t>ru</w:t>
        </w:r>
        <w:proofErr w:type="spellEnd"/>
      </w:hyperlink>
      <w:r w:rsidR="00812FC6" w:rsidRPr="00812FC6">
        <w:rPr>
          <w:rFonts w:ascii="Times New Roman" w:hAnsi="Times New Roman"/>
          <w:b/>
          <w:bCs/>
          <w:color w:val="0070C0"/>
          <w:sz w:val="24"/>
          <w:szCs w:val="24"/>
          <w:lang w:eastAsia="ru-RU"/>
        </w:rPr>
        <w:t xml:space="preserve"> </w:t>
      </w:r>
    </w:p>
    <w:p w:rsidR="00812FC6" w:rsidRPr="00812FC6" w:rsidRDefault="00FD6AF2" w:rsidP="00812FC6">
      <w:pPr>
        <w:spacing w:after="0"/>
        <w:ind w:left="-567"/>
        <w:textAlignment w:val="baseline"/>
        <w:rPr>
          <w:rFonts w:ascii="Times New Roman" w:hAnsi="Times New Roman"/>
          <w:b/>
          <w:bCs/>
          <w:color w:val="0070C0"/>
          <w:sz w:val="24"/>
          <w:szCs w:val="24"/>
          <w:u w:val="single"/>
          <w:lang w:eastAsia="ru-RU"/>
        </w:rPr>
      </w:pPr>
      <w:hyperlink r:id="rId7" w:history="1"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val="en-US" w:eastAsia="ru-RU"/>
          </w:rPr>
          <w:t>www</w:t>
        </w:r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eastAsia="ru-RU"/>
          </w:rPr>
          <w:t>.</w:t>
        </w:r>
        <w:proofErr w:type="spellStart"/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val="en-US" w:eastAsia="ru-RU"/>
          </w:rPr>
          <w:t>tmesk</w:t>
        </w:r>
        <w:proofErr w:type="spellEnd"/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eastAsia="ru-RU"/>
          </w:rPr>
          <w:t>.</w:t>
        </w:r>
        <w:proofErr w:type="spellStart"/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val="en-US" w:eastAsia="ru-RU"/>
          </w:rPr>
          <w:t>ru</w:t>
        </w:r>
        <w:proofErr w:type="spellEnd"/>
      </w:hyperlink>
    </w:p>
    <w:p w:rsidR="00812FC6" w:rsidRDefault="00812FC6" w:rsidP="00812FC6">
      <w:pPr>
        <w:spacing w:after="0"/>
        <w:ind w:left="-567"/>
        <w:textAlignment w:val="baseline"/>
        <w:rPr>
          <w:rFonts w:ascii="Times New Roman" w:hAnsi="Times New Roman"/>
          <w:b/>
          <w:bCs/>
          <w:color w:val="0563C1"/>
          <w:sz w:val="24"/>
          <w:szCs w:val="24"/>
          <w:u w:val="single"/>
          <w:lang w:eastAsia="ru-RU"/>
        </w:rPr>
      </w:pPr>
    </w:p>
    <w:p w:rsidR="00812FC6" w:rsidRDefault="00812FC6" w:rsidP="00812FC6">
      <w:pPr>
        <w:spacing w:after="0"/>
        <w:ind w:left="-567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Мы в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ru-RU"/>
        </w:rPr>
        <w:t>соцсетях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812FC6" w:rsidRDefault="00FD6AF2" w:rsidP="00812FC6">
      <w:pPr>
        <w:spacing w:after="0"/>
        <w:ind w:left="-567"/>
        <w:textAlignment w:val="baseline"/>
        <w:rPr>
          <w:rStyle w:val="a7"/>
          <w:rFonts w:ascii="Times New Roman" w:hAnsi="Times New Roman"/>
          <w:b/>
          <w:bCs/>
          <w:color w:val="0070C0"/>
          <w:sz w:val="24"/>
          <w:szCs w:val="24"/>
          <w:lang w:val="en-US" w:eastAsia="ru-RU"/>
        </w:rPr>
      </w:pPr>
      <w:hyperlink r:id="rId8" w:history="1"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eastAsia="ru-RU"/>
          </w:rPr>
          <w:t>vk.com/</w:t>
        </w:r>
        <w:proofErr w:type="spellStart"/>
        <w:r w:rsidR="007A243D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val="en-US" w:eastAsia="ru-RU"/>
          </w:rPr>
          <w:t>gesbt</w:t>
        </w:r>
        <w:proofErr w:type="spellEnd"/>
      </w:hyperlink>
    </w:p>
    <w:p w:rsidR="007A243D" w:rsidRPr="00812FC6" w:rsidRDefault="00FD6AF2" w:rsidP="007A243D">
      <w:pPr>
        <w:spacing w:after="0"/>
        <w:ind w:left="-567"/>
        <w:textAlignment w:val="baseline"/>
        <w:rPr>
          <w:rFonts w:ascii="Times New Roman" w:hAnsi="Times New Roman"/>
          <w:b/>
          <w:bCs/>
          <w:color w:val="0070C0"/>
          <w:sz w:val="24"/>
          <w:szCs w:val="24"/>
          <w:lang w:val="en-US" w:eastAsia="ru-RU"/>
        </w:rPr>
      </w:pPr>
      <w:r>
        <w:fldChar w:fldCharType="begin"/>
      </w:r>
      <w:r w:rsidRPr="00FD6AF2">
        <w:rPr>
          <w:lang w:val="en-US"/>
        </w:rPr>
        <w:instrText xml:space="preserve"> HYPERLINK "https://www.instagram.com/gesbt/" </w:instrText>
      </w:r>
      <w:r>
        <w:fldChar w:fldCharType="separate"/>
      </w:r>
      <w:proofErr w:type="gramStart"/>
      <w:r w:rsidR="007A243D" w:rsidRPr="00812FC6">
        <w:rPr>
          <w:rStyle w:val="a7"/>
          <w:rFonts w:ascii="Times New Roman" w:hAnsi="Times New Roman"/>
          <w:b/>
          <w:bCs/>
          <w:color w:val="0070C0"/>
          <w:sz w:val="24"/>
          <w:szCs w:val="24"/>
          <w:lang w:val="en-US" w:eastAsia="ru-RU"/>
        </w:rPr>
        <w:t>instagram.com/</w:t>
      </w:r>
      <w:proofErr w:type="spellStart"/>
      <w:r w:rsidR="007A243D">
        <w:rPr>
          <w:rStyle w:val="a7"/>
          <w:rFonts w:ascii="Times New Roman" w:hAnsi="Times New Roman"/>
          <w:b/>
          <w:bCs/>
          <w:color w:val="0070C0"/>
          <w:sz w:val="24"/>
          <w:szCs w:val="24"/>
          <w:lang w:val="en-US" w:eastAsia="ru-RU"/>
        </w:rPr>
        <w:t>gesbt</w:t>
      </w:r>
      <w:proofErr w:type="spellEnd"/>
      <w:proofErr w:type="gramEnd"/>
      <w:r>
        <w:rPr>
          <w:rStyle w:val="a7"/>
          <w:rFonts w:ascii="Times New Roman" w:hAnsi="Times New Roman"/>
          <w:b/>
          <w:bCs/>
          <w:color w:val="0070C0"/>
          <w:sz w:val="24"/>
          <w:szCs w:val="24"/>
          <w:lang w:val="en-US" w:eastAsia="ru-RU"/>
        </w:rPr>
        <w:fldChar w:fldCharType="end"/>
      </w:r>
      <w:r w:rsidR="007A243D" w:rsidRPr="00812FC6">
        <w:rPr>
          <w:rFonts w:ascii="Times New Roman" w:hAnsi="Times New Roman"/>
          <w:b/>
          <w:bCs/>
          <w:color w:val="0070C0"/>
          <w:sz w:val="24"/>
          <w:szCs w:val="24"/>
          <w:lang w:val="en-US" w:eastAsia="ru-RU"/>
        </w:rPr>
        <w:t xml:space="preserve">  </w:t>
      </w:r>
    </w:p>
    <w:p w:rsidR="00812FC6" w:rsidRPr="00812FC6" w:rsidRDefault="007A243D" w:rsidP="00812FC6">
      <w:pPr>
        <w:spacing w:after="0"/>
        <w:ind w:left="-567"/>
        <w:textAlignment w:val="baseline"/>
        <w:rPr>
          <w:rFonts w:ascii="Times New Roman" w:hAnsi="Times New Roman"/>
          <w:b/>
          <w:bCs/>
          <w:color w:val="0070C0"/>
          <w:sz w:val="24"/>
          <w:szCs w:val="24"/>
          <w:lang w:val="en-US" w:eastAsia="ru-RU"/>
        </w:rPr>
      </w:pPr>
      <w:hyperlink r:id="rId9" w:history="1">
        <w:proofErr w:type="gramStart"/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val="en-US" w:eastAsia="ru-RU"/>
          </w:rPr>
          <w:t>facebook.com/</w:t>
        </w:r>
        <w:proofErr w:type="spellStart"/>
        <w:r w:rsidR="00812FC6" w:rsidRPr="00812FC6">
          <w:rPr>
            <w:rStyle w:val="a7"/>
            <w:rFonts w:ascii="Times New Roman" w:hAnsi="Times New Roman"/>
            <w:b/>
            <w:bCs/>
            <w:color w:val="0070C0"/>
            <w:sz w:val="24"/>
            <w:szCs w:val="24"/>
            <w:lang w:val="en-US" w:eastAsia="ru-RU"/>
          </w:rPr>
          <w:t>oaotmesk</w:t>
        </w:r>
        <w:proofErr w:type="spellEnd"/>
        <w:proofErr w:type="gramEnd"/>
      </w:hyperlink>
    </w:p>
    <w:p w:rsidR="00812FC6" w:rsidRDefault="00812FC6" w:rsidP="00812FC6">
      <w:pPr>
        <w:pStyle w:val="a5"/>
        <w:spacing w:before="0" w:beforeAutospacing="0" w:after="0" w:afterAutospacing="0" w:line="276" w:lineRule="auto"/>
        <w:ind w:left="-567" w:firstLine="567"/>
        <w:jc w:val="both"/>
        <w:rPr>
          <w:lang w:val="en-US"/>
        </w:rPr>
      </w:pPr>
    </w:p>
    <w:p w:rsidR="00812FC6" w:rsidRDefault="00812FC6" w:rsidP="00812FC6">
      <w:pPr>
        <w:shd w:val="clear" w:color="auto" w:fill="FFFFFF"/>
        <w:spacing w:after="0"/>
        <w:ind w:left="-567"/>
        <w:jc w:val="center"/>
        <w:textAlignment w:val="baseline"/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val="en-US" w:eastAsia="ru-RU"/>
        </w:rPr>
      </w:pPr>
    </w:p>
    <w:p w:rsidR="00812FC6" w:rsidRDefault="00812FC6" w:rsidP="00812FC6">
      <w:pPr>
        <w:shd w:val="clear" w:color="auto" w:fill="FFFFFF"/>
        <w:spacing w:after="0"/>
        <w:ind w:left="-567"/>
        <w:jc w:val="both"/>
        <w:textAlignment w:val="baseline"/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 использовании материалов</w:t>
      </w:r>
    </w:p>
    <w:p w:rsidR="00812FC6" w:rsidRDefault="00812FC6" w:rsidP="00812FC6">
      <w:pPr>
        <w:shd w:val="clear" w:color="auto" w:fill="FFFFFF"/>
        <w:spacing w:after="0"/>
        <w:ind w:left="-567"/>
        <w:jc w:val="both"/>
        <w:textAlignment w:val="baseline"/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АО «Газпром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энергосбыт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Тюмень»</w:t>
      </w:r>
    </w:p>
    <w:p w:rsidR="00812FC6" w:rsidRDefault="00812FC6" w:rsidP="00812FC6">
      <w:pPr>
        <w:shd w:val="clear" w:color="auto" w:fill="FFFFFF"/>
        <w:spacing w:after="0"/>
        <w:ind w:left="-567"/>
        <w:jc w:val="both"/>
        <w:textAlignment w:val="baseline"/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ссылка на источник обязательна!</w:t>
      </w:r>
    </w:p>
    <w:p w:rsidR="00C500B1" w:rsidRPr="00C500B1" w:rsidRDefault="00C500B1" w:rsidP="00C500B1">
      <w:pPr>
        <w:ind w:left="-567" w:firstLine="708"/>
        <w:rPr>
          <w:sz w:val="24"/>
          <w:szCs w:val="24"/>
        </w:rPr>
      </w:pPr>
    </w:p>
    <w:p w:rsidR="00EA591E" w:rsidRDefault="00EA591E" w:rsidP="00C500B1">
      <w:pPr>
        <w:ind w:left="-567"/>
      </w:pPr>
    </w:p>
    <w:sectPr w:rsidR="00EA5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F25"/>
    <w:rsid w:val="00140689"/>
    <w:rsid w:val="00451CCD"/>
    <w:rsid w:val="004860B4"/>
    <w:rsid w:val="007A243D"/>
    <w:rsid w:val="007F49F2"/>
    <w:rsid w:val="00812FC6"/>
    <w:rsid w:val="009E33F1"/>
    <w:rsid w:val="00B36F25"/>
    <w:rsid w:val="00C500B1"/>
    <w:rsid w:val="00D051BE"/>
    <w:rsid w:val="00EA591E"/>
    <w:rsid w:val="00FD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0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500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00B1"/>
    <w:rPr>
      <w:b/>
      <w:bCs/>
    </w:rPr>
  </w:style>
  <w:style w:type="character" w:styleId="a7">
    <w:name w:val="Hyperlink"/>
    <w:basedOn w:val="a0"/>
    <w:uiPriority w:val="99"/>
    <w:unhideWhenUsed/>
    <w:rsid w:val="001406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0B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500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00B1"/>
    <w:rPr>
      <w:b/>
      <w:bCs/>
    </w:rPr>
  </w:style>
  <w:style w:type="character" w:styleId="a7">
    <w:name w:val="Hyperlink"/>
    <w:basedOn w:val="a0"/>
    <w:uiPriority w:val="99"/>
    <w:unhideWhenUsed/>
    <w:rsid w:val="00140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gesb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me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energosales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oaotmes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Кустова Татьяна Андреевна</dc:creator>
  <cp:lastModifiedBy>Борискина Галина Николаевна</cp:lastModifiedBy>
  <cp:revision>2</cp:revision>
  <dcterms:created xsi:type="dcterms:W3CDTF">2018-11-30T05:52:00Z</dcterms:created>
  <dcterms:modified xsi:type="dcterms:W3CDTF">2018-11-30T05:52:00Z</dcterms:modified>
</cp:coreProperties>
</file>