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727"/>
        <w:jc w:val="center"/>
        <w:rPr>
          <w:b/>
          <w:sz w:val="24"/>
          <w:szCs w:val="24"/>
        </w:rPr>
      </w:pPr>
      <w:r>
        <w:rPr>
          <w:b/>
          <w:sz w:val="20"/>
        </w:rPr>
        <w:t xml:space="preserve">                                  ХАНТЫ-МАНСИЙСКИЙ АВТОНОМНЫЙ ОКРУГ – ЮГРА           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26"/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</w:r>
      <w:r>
        <w:rPr>
          <w:sz w:val="22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25"/>
        <w:jc w:val="center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25"/>
        <w:jc w:val="center"/>
        <w:rPr>
          <w:b w:val="0"/>
          <w:sz w:val="24"/>
          <w:szCs w:val="24"/>
        </w:rPr>
      </w:pPr>
      <w:r>
        <w:t xml:space="preserve">ПОСТАНОВЛЕНИЕ                               </w:t>
      </w:r>
      <w:r>
        <w:rPr>
          <w:b w:val="0"/>
          <w:sz w:val="24"/>
          <w:szCs w:val="24"/>
        </w:rPr>
      </w:r>
    </w:p>
    <w:p>
      <w:pPr>
        <w:jc w:val="center"/>
      </w:pPr>
      <w:r>
        <w:t xml:space="preserve">  </w:t>
      </w:r>
      <w:r/>
    </w:p>
    <w:p>
      <w:pPr>
        <w:pStyle w:val="907"/>
        <w:jc w:val="center"/>
      </w:pPr>
      <w:r/>
      <w:r/>
    </w:p>
    <w:p>
      <w:pPr>
        <w:pStyle w:val="907"/>
        <w:jc w:val="center"/>
        <w:rPr>
          <w:b/>
          <w:sz w:val="26"/>
        </w:rPr>
      </w:pPr>
      <w:r>
        <w:t xml:space="preserve">от 6 ноября 202</w:t>
      </w:r>
      <w:r>
        <w:t xml:space="preserve">5</w:t>
      </w:r>
      <w:r>
        <w:t xml:space="preserve"> года                                     </w:t>
      </w:r>
      <w:r>
        <w:tab/>
        <w:t xml:space="preserve">                                                              № </w:t>
      </w:r>
      <w:r>
        <w:t xml:space="preserve">710</w:t>
      </w:r>
      <w:r>
        <w:rPr>
          <w:b/>
          <w:sz w:val="26"/>
        </w:rPr>
      </w:r>
    </w:p>
    <w:p>
      <w:pPr>
        <w:pStyle w:val="907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07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07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</w:t>
      </w:r>
      <w:r>
        <w:rPr>
          <w:b/>
        </w:rPr>
      </w:r>
      <w:r>
        <w:rPr>
          <w:b/>
        </w:rPr>
      </w:r>
    </w:p>
    <w:p>
      <w:pPr>
        <w:pStyle w:val="907"/>
        <w:jc w:val="center"/>
        <w:rPr>
          <w:b/>
        </w:rPr>
      </w:pPr>
      <w:r>
        <w:rPr>
          <w:b/>
        </w:rPr>
        <w:t xml:space="preserve"> администрации Белоярского района от 2 октября 2017 года № 908</w:t>
      </w:r>
      <w:r>
        <w:rPr>
          <w:b/>
        </w:rPr>
      </w:r>
      <w:r>
        <w:rPr>
          <w:b/>
        </w:rPr>
      </w:r>
    </w:p>
    <w:p>
      <w:pPr>
        <w:pStyle w:val="90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7"/>
        <w:jc w:val="center"/>
      </w:pPr>
      <w:r/>
      <w:r/>
    </w:p>
    <w:p>
      <w:pPr>
        <w:pStyle w:val="907"/>
        <w:ind w:firstLine="708"/>
        <w:jc w:val="both"/>
        <w:rPr>
          <w:highlight w:val="none"/>
        </w:rPr>
      </w:pPr>
      <w:r>
        <w:t xml:space="preserve">В соответствии с постановлением администрации Белоярского района от 15 октября 2025 года № 660 «Об увеличении фондов оплаты труда муниципальных учреждений Белоярского района» п о с т а н о в л я ю:</w:t>
      </w:r>
      <w:r>
        <w:rPr>
          <w:rFonts w:cs="Calibri"/>
        </w:rPr>
      </w:r>
      <w:r>
        <w:rPr>
          <w:highlight w:val="none"/>
        </w:rPr>
      </w:r>
    </w:p>
    <w:p>
      <w:pPr>
        <w:pStyle w:val="907"/>
        <w:ind w:firstLine="708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7"/>
        <w:ind w:firstLine="720"/>
        <w:jc w:val="both"/>
      </w:pPr>
      <w:r>
        <w:rPr>
          <w:rFonts w:cs="Calibri"/>
        </w:rPr>
        <w:t xml:space="preserve">1. В</w:t>
      </w:r>
      <w:r>
        <w:t xml:space="preserve">нести в приложение «Положение об </w:t>
      </w:r>
      <w:r>
        <w:t xml:space="preserve">установлении системы оплаты труда работников муниципальных учреждений, подведомственных Комитету по делам молодежи, физической культуре и спорту администрации Белоярского района» к постановлению администрации Белоярского района от 2 октября 2017 года № 908</w:t>
      </w:r>
      <w:r>
        <w:t xml:space="preserve">                           «Об утверждении Положения об установлении системы оплаты  труда работников муниципальных учреждений, подведомственных Комитету по делам молодежи, физической культуре и спорту администрации Белоярского района» следующие изменения:</w:t>
      </w:r>
      <w:r/>
    </w:p>
    <w:p>
      <w:pPr>
        <w:pStyle w:val="907"/>
        <w:ind w:firstLine="720"/>
        <w:jc w:val="both"/>
      </w:pPr>
      <w:r>
        <w:t xml:space="preserve">1) в разделе 2 «Основные условия оплаты труда»:</w:t>
      </w:r>
      <w:r/>
    </w:p>
    <w:p>
      <w:pPr>
        <w:ind w:firstLine="720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а) таблицу 1, содержащуюся в пункте 2, изложить в следующей редакции: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/>
      <w:bookmarkStart w:id="0" w:name="Par7"/>
      <w:r/>
      <w:bookmarkEnd w:id="0"/>
      <w:r>
        <w:rPr>
          <w:sz w:val="24"/>
          <w:szCs w:val="24"/>
        </w:rPr>
        <w:t xml:space="preserve">Профессиональные квалификационные группы должностей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руководителей, специалистов, служащих и размеры окладов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(должностных окладов)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2410"/>
      </w:tblGrid>
      <w:tr>
        <w:tblPrEx/>
        <w:trPr>
          <w:jc w:val="center"/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Должности, отнесенные к квалификационным уровням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размер оклада (должностного оклада),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01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Профессиональные квалификационные группы должностей работников физической культуры и спорта (утверждены </w:t>
            </w:r>
            <w:hyperlink r:id="rId13" w:tooltip="consultantplus://offline/ref=1D84898A6EF8EF00FA4D4FA95AC5AA92D6F85EA5482D81A52F40104F5AZ0A6J" w:history="1">
              <w:r>
                <w:rPr>
                  <w:sz w:val="24"/>
                  <w:szCs w:val="24"/>
                </w:rPr>
                <w:t xml:space="preserve">приказом</w:t>
              </w:r>
            </w:hyperlink>
            <w:r>
              <w:rPr>
                <w:sz w:val="24"/>
                <w:szCs w:val="24"/>
              </w:rPr>
              <w:t xml:space="preserve"> Министерства здравоохранения и социального развития Российской Федерации от 27 февраля 2012 года № 165н «Об утверждении профессиональных квалификационных групп должностей работников физической культуры и спорта»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6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«Должности работников физической культуры и спорта второго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спорту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6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7"/>
              <w:jc w:val="both"/>
            </w:pPr>
            <w:r>
              <w:rPr>
                <w:sz w:val="24"/>
                <w:szCs w:val="24"/>
              </w:rPr>
              <w:t xml:space="preserve">инструктор-методист по адаптивной физической    культуре; инструктор-методист        физкультурно-спортивных организаций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54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Профессиональные квалификационные группы общеотраслевых должностей руководителей, специалистов и служащих (утверждены </w:t>
            </w:r>
            <w:hyperlink r:id="rId14" w:tooltip="consultantplus://offline/ref=1D84898A6EF8EF00FA4D4FA95AC5AA92DFFE58A64D20DCAF27191C4DZ5ADJ" w:history="1">
              <w:r>
                <w:rPr>
                  <w:sz w:val="24"/>
                  <w:szCs w:val="24"/>
                </w:rPr>
                <w:t xml:space="preserve">приказом</w:t>
              </w:r>
            </w:hyperlink>
            <w:r>
              <w:rPr>
                <w:sz w:val="24"/>
                <w:szCs w:val="24"/>
              </w:rPr>
              <w:t xml:space="preserve"> Министерства здравоохранения и социального развития Российской Федерации от 29 мая 2008 года                № 247н «Об утверждении профессиональных квалификационных групп общеотраслевых должностей руководителей, специалистов и служащих»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должности служащих первого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/>
            <w:bookmarkStart w:id="1" w:name="Par40"/>
            <w:r/>
            <w:bookmarkEnd w:id="1"/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делопроизводитель; кассир; нарядчик; учетчик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1 квалификационного уровня, по которым может устанавливаться производное должностное наименование «старший»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33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должности служащих второго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/>
            <w:bookmarkStart w:id="2" w:name="Par49"/>
            <w:r/>
            <w:bookmarkEnd w:id="2"/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администратор; специалист по работе с молодежью; техник; техник-программист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0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/>
            <w:bookmarkStart w:id="3" w:name="Par56"/>
            <w:r/>
            <w:bookmarkEnd w:id="3"/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1 квалификационного уровня, по которым устанавливается производное должностное наименование «старший»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7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12332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48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r>
              <w:rPr>
                <w:sz w:val="24"/>
                <w:szCs w:val="24"/>
              </w:rPr>
              <w:t xml:space="preserve">внутридолжностная</w:t>
            </w:r>
            <w:r>
              <w:rPr>
                <w:sz w:val="24"/>
                <w:szCs w:val="24"/>
              </w:rPr>
              <w:t xml:space="preserve"> категория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5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/>
            <w:bookmarkStart w:id="4" w:name="Par61"/>
            <w:r/>
            <w:bookmarkEnd w:id="4"/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должности служащих третьего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бухгалтер; специалист по кадрам; экономист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должности служащих четвертого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энергетик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таблицу 2, содержащуюся в пункте 3, изложить в следующей редакции: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Профессиональные квалификационные группы общеотраслевых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профессий рабочих и размеры окладов (должностных окладов)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51"/>
        <w:gridCol w:w="4962"/>
        <w:gridCol w:w="1843"/>
      </w:tblGrid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квалификационным уровням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размер оклада (должностного оклада),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профессии рабочих первого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15" w:tooltip="consultantplus://offline/ref=1D84898A6EF8EF00FA4D4FA95AC5AA92D5F35CA64C2E81A52F40104F5A0609AC5DAE695CFD87A159Z1A0J" w:history="1">
              <w:r>
                <w:rPr>
                  <w:sz w:val="24"/>
                  <w:szCs w:val="24"/>
                </w:rPr>
                <w:t xml:space="preserve">справочником</w:t>
              </w:r>
            </w:hyperlink>
            <w:r>
              <w:rPr>
                <w:sz w:val="24"/>
                <w:szCs w:val="24"/>
              </w:rPr>
              <w:t xml:space="preserve"> работ и профессий рабочих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1 квалификационному уровню в соответствии с </w:t>
            </w:r>
            <w:hyperlink r:id="rId16" w:tooltip="consultantplus://offline/ref=1D84898A6EF8EF00FA4D4FA95AC5AA92D0F35CA74920DCAF27191C4DZ5ADJ" w:history="1">
              <w:r>
                <w:rPr>
                  <w:sz w:val="24"/>
                  <w:szCs w:val="24"/>
                </w:rPr>
                <w:t xml:space="preserve">Приказом</w:t>
              </w:r>
            </w:hyperlink>
            <w:r>
              <w:rPr>
                <w:sz w:val="24"/>
                <w:szCs w:val="24"/>
              </w:rPr>
              <w:t xml:space="preserve"> № 248н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</w:t>
            </w:r>
            <w:hyperlink w:tooltip="#Par102" w:anchor="Par102" w:history="1">
              <w:r>
                <w:rPr>
                  <w:sz w:val="24"/>
                  <w:szCs w:val="24"/>
                </w:rPr>
                <w:t xml:space="preserve">1 квалификационному уровню</w:t>
              </w:r>
            </w:hyperlink>
            <w:r>
              <w:rPr>
                <w:sz w:val="24"/>
                <w:szCs w:val="24"/>
              </w:rPr>
              <w:t xml:space="preserve">, при выполнении работ по профессии с производным наименованием «старший» (старший по смене)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профессии рабочих второго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17" w:tooltip="consultantplus://offline/ref=9FADFAD757930F0B8FA42C5DB202086D7F9B5209C289BACE66369471W5TCK" w:history="1">
              <w:r>
                <w:rPr>
                  <w:sz w:val="24"/>
                  <w:szCs w:val="24"/>
                </w:rPr>
                <w:t xml:space="preserve">справочником</w:t>
              </w:r>
            </w:hyperlink>
            <w:r>
              <w:rPr>
                <w:sz w:val="24"/>
                <w:szCs w:val="24"/>
              </w:rPr>
              <w:t xml:space="preserve"> работ и профессий рабочих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</w:t>
            </w:r>
            <w:hyperlink w:tooltip="#Par122" w:anchor="Par122" w:history="1">
              <w:r>
                <w:rPr>
                  <w:sz w:val="24"/>
                  <w:szCs w:val="24"/>
                </w:rPr>
                <w:t xml:space="preserve">1 квалификационному уровню</w:t>
              </w:r>
            </w:hyperlink>
            <w:r>
              <w:rPr>
                <w:sz w:val="24"/>
                <w:szCs w:val="24"/>
              </w:rPr>
              <w:t xml:space="preserve"> в соответствии с </w:t>
            </w:r>
            <w:hyperlink r:id="rId18" w:tooltip="consultantplus://offline/ref=1D84898A6EF8EF00FA4D4FA95AC5AA92D0F35CA74920DCAF27191C4DZ5ADJ" w:history="1">
              <w:r>
                <w:rPr>
                  <w:sz w:val="24"/>
                  <w:szCs w:val="24"/>
                </w:rPr>
                <w:t xml:space="preserve">Приказом</w:t>
              </w:r>
            </w:hyperlink>
            <w:r>
              <w:rPr>
                <w:sz w:val="24"/>
                <w:szCs w:val="24"/>
              </w:rPr>
              <w:t xml:space="preserve"> № 248н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9" w:tooltip="consultantplus://offline/ref=1D84898A6EF8EF00FA4D4FA95AC5AA92D5F35CA64C2E81A52F40104F5A0609AC5DAE695CFD87A159Z1A0J" w:history="1">
              <w:r>
                <w:rPr>
                  <w:sz w:val="24"/>
                  <w:szCs w:val="24"/>
                </w:rPr>
                <w:t xml:space="preserve">справочником</w:t>
              </w:r>
            </w:hyperlink>
            <w:r>
              <w:rPr>
                <w:sz w:val="24"/>
                <w:szCs w:val="24"/>
              </w:rPr>
              <w:t xml:space="preserve"> работ и профессий рабочих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профессий рабочих, по которым предусмотрено присвоение 8 квалификационных разрядов в соответствии с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Единым </w:t>
            </w:r>
            <w:r>
              <w:rPr>
                <w:sz w:val="24"/>
                <w:szCs w:val="24"/>
              </w:rPr>
              <w:t xml:space="preserve">тарифно-квалификационным </w:t>
            </w:r>
            <w:hyperlink r:id="rId20" w:tooltip="consultantplus://offline/ref=1D84898A6EF8EF00FA4D4FA95AC5AA92D5F35CA64C2E81A52F40104F5A0609AC5DAE695CFD87A159Z1A0J" w:history="1">
              <w:r>
                <w:rPr>
                  <w:sz w:val="24"/>
                  <w:szCs w:val="24"/>
                </w:rPr>
                <w:t xml:space="preserve">справочником</w:t>
              </w:r>
            </w:hyperlink>
            <w:r>
              <w:rPr>
                <w:sz w:val="24"/>
                <w:szCs w:val="24"/>
              </w:rPr>
              <w:t xml:space="preserve"> работ и профессий рабочих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таблицу 3, содержащуюся в пункте 4,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Таблица 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Размеры окладов (должностных окладов) по должностям,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не включенным в профессиональные квалификационные группы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529"/>
        <w:gridCol w:w="3260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размер оклада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(должностного оклада)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(рублей)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5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val="en-AU" w:eastAsia="en-US"/>
              </w:rPr>
            </w:pPr>
            <w:r>
              <w:rPr>
                <w:sz w:val="24"/>
                <w:szCs w:val="24"/>
                <w:lang w:val="en-AU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val="en-AU" w:eastAsia="en-US"/>
              </w:rPr>
            </w:pPr>
            <w:r>
              <w:rPr>
                <w:sz w:val="24"/>
                <w:szCs w:val="24"/>
                <w:lang w:val="en-AU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val="en-AU" w:eastAsia="en-US"/>
              </w:rPr>
            </w:pPr>
            <w:r>
              <w:rPr>
                <w:sz w:val="24"/>
                <w:szCs w:val="24"/>
                <w:lang w:val="en-AU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  <w:r>
              <w:rPr>
                <w:rFonts w:eastAsia="Calibri"/>
                <w:sz w:val="24"/>
                <w:szCs w:val="24"/>
                <w:lang w:val="en-AU" w:eastAsia="en-US"/>
              </w:rPr>
            </w:r>
          </w:p>
        </w:tc>
      </w:tr>
      <w:tr>
        <w:tblPrEx/>
        <w:trPr>
          <w:trHeight w:val="15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машинист по стирке и ремонту спецодежды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ремонтировщик</w:t>
            </w:r>
            <w:r>
              <w:rPr>
                <w:sz w:val="24"/>
                <w:szCs w:val="24"/>
              </w:rPr>
              <w:t xml:space="preserve"> спортивного инвентаря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повар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10481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водитель льдоуборочной машины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10481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pStyle w:val="907"/>
              <w:jc w:val="left"/>
              <w:rPr>
                <w:highlight w:val="red"/>
              </w:rPr>
            </w:pPr>
            <w:r>
              <w:t xml:space="preserve">кладовщик-калькулятор</w:t>
            </w:r>
            <w:r>
              <w:rPr>
                <w:highlight w:val="red"/>
              </w:rPr>
            </w:r>
            <w:r>
              <w:rPr>
                <w:highlight w:val="red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10645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техник службы водно-канализационной и отопления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11712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техник службы холодильного оборудования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техник электронно-информационного оборудования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pStyle w:val="907"/>
              <w:jc w:val="both"/>
              <w:rPr>
                <w:szCs w:val="24"/>
                <w:highlight w:val="red"/>
              </w:rPr>
            </w:pPr>
            <w:r>
              <w:t xml:space="preserve">мастер</w:t>
            </w:r>
            <w:r>
              <w:rPr>
                <w:szCs w:val="24"/>
                <w:highlight w:val="red"/>
              </w:rPr>
            </w:r>
            <w:r>
              <w:rPr>
                <w:szCs w:val="24"/>
                <w:highlight w:val="red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12637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pStyle w:val="907"/>
              <w:jc w:val="both"/>
            </w:pPr>
            <w:r>
              <w:rPr>
                <w:szCs w:val="24"/>
              </w:rPr>
              <w:t xml:space="preserve">специалист по охране труда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12952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12952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 по организации эксплуатации и ремонту зданий и сооружений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12952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инженер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16339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11712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ind w:firstLine="720"/>
        <w:jc w:val="both"/>
      </w:pPr>
      <w:r>
        <w:t xml:space="preserve">2) таблицу 7, содержащуюся в пункте 2 раздела 5 «Порядок и условия оплаты труда руководителя учреждения, заместителей руководителя, главного бухгалтера», изложить в следующей редакции: </w:t>
      </w:r>
      <w:r/>
    </w:p>
    <w:p>
      <w:pPr>
        <w:pStyle w:val="907"/>
        <w:jc w:val="both"/>
      </w:pPr>
      <w:r>
        <w:t xml:space="preserve">«</w:t>
      </w:r>
      <w:r/>
    </w:p>
    <w:p>
      <w:pPr>
        <w:pStyle w:val="907"/>
        <w:ind w:firstLine="720"/>
        <w:jc w:val="right"/>
      </w:pPr>
      <w:r>
        <w:t xml:space="preserve">                                                                                                                          Таблица 7</w:t>
      </w:r>
      <w:r/>
    </w:p>
    <w:p>
      <w:pPr>
        <w:pStyle w:val="74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Размеры окладов (должностных окладов) руководителя учреждения,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его заместителей и главного бухгалтера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91"/>
        <w:gridCol w:w="3827"/>
      </w:tblGrid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по оплате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 (должностной оклад),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22365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20808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18726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17557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бухгалтер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18726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17557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группа по оплате труда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07"/>
        <w:ind w:firstLine="720"/>
        <w:jc w:val="right"/>
      </w:pPr>
      <w:r>
        <w:t xml:space="preserve">                                                                                                                                          ».</w:t>
      </w:r>
      <w:r/>
    </w:p>
    <w:p>
      <w:pPr>
        <w:pStyle w:val="907"/>
        <w:ind w:firstLine="72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907"/>
        <w:ind w:firstLine="720"/>
        <w:jc w:val="both"/>
      </w:pPr>
      <w:r>
        <w:t xml:space="preserve">2. Опубликовать настоящее постановление в газете «Белоярские вести. Официальный выпуск».</w:t>
      </w:r>
      <w:r/>
    </w:p>
    <w:p>
      <w:pPr>
        <w:pStyle w:val="907"/>
        <w:ind w:firstLine="720"/>
        <w:jc w:val="both"/>
      </w:pPr>
      <w:r>
        <w:t xml:space="preserve">3. </w:t>
      </w:r>
      <w:r>
        <w:rPr>
          <w:color w:val="000000"/>
          <w:sz w:val="24"/>
          <w:szCs w:val="24"/>
        </w:rPr>
        <w:t xml:space="preserve">Настоящее постановление вступает в силу после его официального опубликования, и распространяется на правоотношения, возникшие с 1 октября 2025 года.</w:t>
      </w:r>
      <w:r/>
    </w:p>
    <w:p>
      <w:pPr>
        <w:pStyle w:val="907"/>
        <w:ind w:firstLine="720"/>
        <w:jc w:val="both"/>
      </w:pPr>
      <w: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/>
    </w:p>
    <w:p>
      <w:pPr>
        <w:pStyle w:val="907"/>
        <w:jc w:val="both"/>
        <w:tabs>
          <w:tab w:val="left" w:pos="68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7"/>
        <w:jc w:val="both"/>
        <w:tabs>
          <w:tab w:val="left" w:pos="68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7"/>
        <w:jc w:val="both"/>
        <w:tabs>
          <w:tab w:val="left" w:pos="68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7"/>
        <w:jc w:val="both"/>
        <w:tabs>
          <w:tab w:val="left" w:pos="6840" w:leader="none"/>
        </w:tabs>
        <w:rPr>
          <w:szCs w:val="24"/>
        </w:rPr>
      </w:pPr>
      <w:r>
        <w:rPr>
          <w:szCs w:val="24"/>
        </w:rPr>
        <w:t xml:space="preserve">Глава Белоярского района </w:t>
      </w:r>
      <w:r>
        <w:rPr>
          <w:szCs w:val="24"/>
        </w:rPr>
        <w:tab/>
        <w:t xml:space="preserve">                 </w:t>
      </w:r>
      <w:r>
        <w:rPr>
          <w:szCs w:val="24"/>
        </w:rPr>
        <w:t xml:space="preserve">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907"/>
        <w:jc w:val="both"/>
      </w:pPr>
      <w:r/>
      <w:r/>
    </w:p>
    <w:p>
      <w:pPr>
        <w:pStyle w:val="907"/>
        <w:jc w:val="both"/>
      </w:pPr>
      <w:r/>
      <w:r/>
    </w:p>
    <w:p>
      <w:pPr>
        <w:pStyle w:val="907"/>
        <w:jc w:val="both"/>
      </w:pPr>
      <w:r/>
      <w:r/>
    </w:p>
    <w:p>
      <w:pPr>
        <w:pStyle w:val="907"/>
        <w:jc w:val="both"/>
      </w:pPr>
      <w:r/>
      <w:r/>
    </w:p>
    <w:p>
      <w:pPr>
        <w:pStyle w:val="907"/>
        <w:jc w:val="both"/>
      </w:pPr>
      <w:r/>
      <w:r/>
    </w:p>
    <w:p>
      <w:pPr>
        <w:pStyle w:val="907"/>
        <w:jc w:val="both"/>
      </w:pPr>
      <w:r/>
      <w:r/>
    </w:p>
    <w:p>
      <w:pPr>
        <w:pStyle w:val="907"/>
        <w:jc w:val="both"/>
      </w:pPr>
      <w:r/>
      <w:r/>
    </w:p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079" w:right="850" w:bottom="899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separate"/>
    </w:r>
    <w:r>
      <w:rPr>
        <w:rStyle w:val="906"/>
      </w:rPr>
      <w:t xml:space="preserve">4</w: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756"/>
      <w:rPr>
        <w:rStyle w:val="906"/>
      </w:rPr>
      <w:framePr w:wrap="around" w:vAnchor="text" w:hAnchor="margin" w:xAlign="center" w:y="1"/>
    </w:pPr>
    <w:r>
      <w:rPr>
        <w:rStyle w:val="906"/>
      </w:rPr>
    </w:r>
    <w:r>
      <w:rPr>
        <w:rStyle w:val="906"/>
      </w:rPr>
    </w:r>
    <w:r>
      <w:rPr>
        <w:rStyle w:val="906"/>
      </w:rPr>
    </w:r>
  </w:p>
  <w:p>
    <w:pPr>
      <w:pStyle w:val="756"/>
      <w:rPr>
        <w:rStyle w:val="906"/>
      </w:rPr>
      <w:framePr w:wrap="around" w:vAnchor="text" w:hAnchor="margin" w:xAlign="center" w:y="1"/>
    </w:pPr>
    <w:r>
      <w:rPr>
        <w:rStyle w:val="906"/>
      </w:rPr>
    </w:r>
    <w:r>
      <w:rPr>
        <w:rStyle w:val="906"/>
      </w:rPr>
    </w:r>
    <w:r>
      <w:rPr>
        <w:rStyle w:val="906"/>
      </w:rPr>
    </w:r>
  </w:p>
  <w:p>
    <w:pPr>
      <w:pStyle w:val="7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734"/>
    <w:link w:val="725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734"/>
    <w:link w:val="726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734"/>
    <w:link w:val="727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73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734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73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73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15">
    <w:name w:val="Title Char"/>
    <w:basedOn w:val="734"/>
    <w:link w:val="748"/>
    <w:uiPriority w:val="10"/>
    <w:rPr>
      <w:sz w:val="48"/>
      <w:szCs w:val="48"/>
    </w:rPr>
  </w:style>
  <w:style w:type="character" w:styleId="716">
    <w:name w:val="Subtitle Char"/>
    <w:basedOn w:val="734"/>
    <w:link w:val="750"/>
    <w:uiPriority w:val="11"/>
    <w:rPr>
      <w:sz w:val="24"/>
      <w:szCs w:val="24"/>
    </w:rPr>
  </w:style>
  <w:style w:type="character" w:styleId="717">
    <w:name w:val="Quote Char"/>
    <w:link w:val="752"/>
    <w:uiPriority w:val="29"/>
    <w:rPr>
      <w:i/>
    </w:rPr>
  </w:style>
  <w:style w:type="character" w:styleId="718">
    <w:name w:val="Intense Quote Char"/>
    <w:link w:val="754"/>
    <w:uiPriority w:val="30"/>
    <w:rPr>
      <w:i/>
    </w:rPr>
  </w:style>
  <w:style w:type="character" w:styleId="719">
    <w:name w:val="Header Char"/>
    <w:basedOn w:val="734"/>
    <w:link w:val="756"/>
    <w:uiPriority w:val="99"/>
  </w:style>
  <w:style w:type="character" w:styleId="720">
    <w:name w:val="Footer Char"/>
    <w:basedOn w:val="734"/>
    <w:link w:val="758"/>
    <w:uiPriority w:val="99"/>
  </w:style>
  <w:style w:type="character" w:styleId="721">
    <w:name w:val="Caption Char"/>
    <w:basedOn w:val="734"/>
    <w:link w:val="760"/>
    <w:uiPriority w:val="35"/>
    <w:rPr>
      <w:b/>
      <w:bCs/>
      <w:color w:val="4f81bd" w:themeColor="accent1"/>
      <w:sz w:val="18"/>
      <w:szCs w:val="18"/>
    </w:rPr>
  </w:style>
  <w:style w:type="character" w:styleId="722">
    <w:name w:val="Footnote Text Char"/>
    <w:link w:val="889"/>
    <w:uiPriority w:val="99"/>
    <w:rPr>
      <w:sz w:val="18"/>
    </w:rPr>
  </w:style>
  <w:style w:type="character" w:styleId="723">
    <w:name w:val="Endnote Text Char"/>
    <w:link w:val="892"/>
    <w:uiPriority w:val="99"/>
    <w:rPr>
      <w:sz w:val="20"/>
    </w:rPr>
  </w:style>
  <w:style w:type="paragraph" w:styleId="724" w:default="1">
    <w:name w:val="Normal"/>
    <w:qFormat/>
    <w:rPr>
      <w:lang w:eastAsia="ru-RU"/>
    </w:rPr>
  </w:style>
  <w:style w:type="paragraph" w:styleId="725">
    <w:name w:val="Heading 1"/>
    <w:basedOn w:val="724"/>
    <w:next w:val="724"/>
    <w:link w:val="737"/>
    <w:qFormat/>
    <w:pPr>
      <w:jc w:val="center"/>
      <w:keepNext/>
      <w:outlineLvl w:val="0"/>
    </w:pPr>
    <w:rPr>
      <w:b/>
      <w:sz w:val="28"/>
    </w:rPr>
  </w:style>
  <w:style w:type="paragraph" w:styleId="726">
    <w:name w:val="Heading 2"/>
    <w:basedOn w:val="724"/>
    <w:next w:val="724"/>
    <w:link w:val="738"/>
    <w:qFormat/>
    <w:pPr>
      <w:jc w:val="center"/>
      <w:keepNext/>
      <w:outlineLvl w:val="1"/>
    </w:pPr>
    <w:rPr>
      <w:b/>
      <w:sz w:val="24"/>
    </w:rPr>
  </w:style>
  <w:style w:type="paragraph" w:styleId="727">
    <w:name w:val="Heading 3"/>
    <w:basedOn w:val="724"/>
    <w:next w:val="724"/>
    <w:link w:val="739"/>
    <w:qFormat/>
    <w:pPr>
      <w:jc w:val="center"/>
      <w:keepNext/>
      <w:outlineLvl w:val="2"/>
    </w:pPr>
    <w:rPr>
      <w:sz w:val="28"/>
    </w:rPr>
  </w:style>
  <w:style w:type="paragraph" w:styleId="728">
    <w:name w:val="Heading 4"/>
    <w:basedOn w:val="724"/>
    <w:next w:val="724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724"/>
    <w:next w:val="724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724"/>
    <w:next w:val="724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724"/>
    <w:next w:val="724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724"/>
    <w:next w:val="724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1 Знак"/>
    <w:link w:val="725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link w:val="726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27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24"/>
    <w:qFormat/>
    <w:pPr>
      <w:contextualSpacing/>
      <w:ind w:left="720"/>
    </w:pPr>
    <w:rPr>
      <w:sz w:val="24"/>
      <w:szCs w:val="24"/>
    </w:rPr>
  </w:style>
  <w:style w:type="paragraph" w:styleId="747">
    <w:name w:val="No Spacing"/>
    <w:uiPriority w:val="1"/>
    <w:qFormat/>
    <w:rPr>
      <w:lang w:eastAsia="ru-RU"/>
    </w:rPr>
  </w:style>
  <w:style w:type="paragraph" w:styleId="748">
    <w:name w:val="Title"/>
    <w:basedOn w:val="724"/>
    <w:next w:val="724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Заголовок Знак"/>
    <w:link w:val="748"/>
    <w:uiPriority w:val="10"/>
    <w:rPr>
      <w:sz w:val="48"/>
      <w:szCs w:val="48"/>
    </w:rPr>
  </w:style>
  <w:style w:type="paragraph" w:styleId="750">
    <w:name w:val="Subtitle"/>
    <w:basedOn w:val="724"/>
    <w:next w:val="724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link w:val="750"/>
    <w:uiPriority w:val="11"/>
    <w:rPr>
      <w:sz w:val="24"/>
      <w:szCs w:val="24"/>
    </w:rPr>
  </w:style>
  <w:style w:type="paragraph" w:styleId="752">
    <w:name w:val="Quote"/>
    <w:basedOn w:val="724"/>
    <w:next w:val="724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4"/>
    <w:next w:val="724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24"/>
    <w:link w:val="757"/>
    <w:pPr>
      <w:tabs>
        <w:tab w:val="center" w:pos="4677" w:leader="none"/>
        <w:tab w:val="right" w:pos="9355" w:leader="none"/>
      </w:tabs>
    </w:pPr>
  </w:style>
  <w:style w:type="character" w:styleId="757" w:customStyle="1">
    <w:name w:val="Верхний колонтитул Знак"/>
    <w:link w:val="756"/>
    <w:uiPriority w:val="99"/>
  </w:style>
  <w:style w:type="paragraph" w:styleId="758">
    <w:name w:val="Footer"/>
    <w:basedOn w:val="724"/>
    <w:link w:val="759"/>
    <w:pPr>
      <w:tabs>
        <w:tab w:val="center" w:pos="4677" w:leader="none"/>
        <w:tab w:val="right" w:pos="9355" w:leader="none"/>
      </w:tabs>
    </w:pPr>
  </w:style>
  <w:style w:type="character" w:styleId="759" w:customStyle="1">
    <w:name w:val="Нижний колонтитул Знак"/>
    <w:link w:val="758"/>
    <w:uiPriority w:val="99"/>
  </w:style>
  <w:style w:type="paragraph" w:styleId="760">
    <w:name w:val="Caption"/>
    <w:basedOn w:val="724"/>
    <w:next w:val="724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 w:customStyle="1">
    <w:name w:val="Название объекта Знак"/>
    <w:link w:val="760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"/>
    <w:basedOn w:val="735"/>
    <w:tblPr/>
  </w:style>
  <w:style w:type="table" w:styleId="76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724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rPr>
      <w:vertAlign w:val="superscript"/>
    </w:rPr>
  </w:style>
  <w:style w:type="paragraph" w:styleId="892">
    <w:name w:val="endnote text"/>
    <w:basedOn w:val="724"/>
    <w:link w:val="893"/>
    <w:uiPriority w:val="99"/>
    <w:semiHidden/>
    <w:unhideWhenUsed/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724"/>
    <w:next w:val="724"/>
    <w:uiPriority w:val="39"/>
    <w:unhideWhenUsed/>
    <w:pPr>
      <w:spacing w:after="57"/>
    </w:pPr>
  </w:style>
  <w:style w:type="paragraph" w:styleId="896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897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898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899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00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01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02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03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24"/>
    <w:next w:val="724"/>
    <w:uiPriority w:val="99"/>
    <w:unhideWhenUsed/>
  </w:style>
  <w:style w:type="character" w:styleId="906">
    <w:name w:val="page number"/>
    <w:basedOn w:val="734"/>
  </w:style>
  <w:style w:type="paragraph" w:styleId="907">
    <w:name w:val="Body Text Indent 3"/>
    <w:basedOn w:val="724"/>
    <w:link w:val="915"/>
    <w:pPr>
      <w:jc w:val="center"/>
    </w:pPr>
    <w:rPr>
      <w:sz w:val="24"/>
    </w:rPr>
  </w:style>
  <w:style w:type="paragraph" w:styleId="908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09" w:customStyle="1">
    <w:name w:val="ConsPlusTitle"/>
    <w:pPr>
      <w:widowControl w:val="off"/>
    </w:pPr>
    <w:rPr>
      <w:rFonts w:ascii="Arial" w:hAnsi="Arial" w:cs="Arial"/>
      <w:b/>
      <w:bCs/>
      <w:lang w:eastAsia="ru-RU"/>
    </w:rPr>
  </w:style>
  <w:style w:type="character" w:styleId="910" w:customStyle="1">
    <w:name w:val="apple-converted-space"/>
    <w:basedOn w:val="734"/>
  </w:style>
  <w:style w:type="character" w:styleId="911">
    <w:name w:val="Emphasis"/>
    <w:qFormat/>
    <w:rPr>
      <w:i/>
      <w:iCs/>
    </w:rPr>
  </w:style>
  <w:style w:type="paragraph" w:styleId="912" w:customStyle="1">
    <w:name w:val="Знак"/>
    <w:basedOn w:val="724"/>
    <w:pPr>
      <w:spacing w:after="160" w:line="240" w:lineRule="exact"/>
    </w:pPr>
    <w:rPr>
      <w:rFonts w:ascii="Verdana" w:hAnsi="Verdana"/>
      <w:lang w:val="en-US" w:eastAsia="en-US"/>
    </w:rPr>
  </w:style>
  <w:style w:type="paragraph" w:styleId="913">
    <w:name w:val="Balloon Text"/>
    <w:basedOn w:val="724"/>
    <w:link w:val="914"/>
    <w:rPr>
      <w:rFonts w:ascii="Segoe UI" w:hAnsi="Segoe UI" w:cs="Segoe UI"/>
      <w:sz w:val="18"/>
      <w:szCs w:val="18"/>
    </w:rPr>
  </w:style>
  <w:style w:type="character" w:styleId="914" w:customStyle="1">
    <w:name w:val="Текст выноски Знак"/>
    <w:link w:val="913"/>
    <w:rPr>
      <w:rFonts w:ascii="Segoe UI" w:hAnsi="Segoe UI" w:cs="Segoe UI"/>
      <w:sz w:val="18"/>
      <w:szCs w:val="18"/>
    </w:rPr>
  </w:style>
  <w:style w:type="character" w:styleId="915" w:customStyle="1">
    <w:name w:val="Основной текст с отступом 3 Знак"/>
    <w:link w:val="907"/>
    <w:rPr>
      <w:sz w:val="24"/>
    </w:rPr>
  </w:style>
  <w:style w:type="paragraph" w:styleId="916" w:customStyle="1">
    <w:name w:val="ConsNormal"/>
    <w:pPr>
      <w:ind w:right="19772"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hyperlink" Target="consultantplus://offline/ref=1D84898A6EF8EF00FA4D4FA95AC5AA92D6F85EA5482D81A52F40104F5AZ0A6J" TargetMode="External"/><Relationship Id="rId14" Type="http://schemas.openxmlformats.org/officeDocument/2006/relationships/hyperlink" Target="consultantplus://offline/ref=1D84898A6EF8EF00FA4D4FA95AC5AA92DFFE58A64D20DCAF27191C4DZ5ADJ" TargetMode="External"/><Relationship Id="rId15" Type="http://schemas.openxmlformats.org/officeDocument/2006/relationships/hyperlink" Target="consultantplus://offline/ref=1D84898A6EF8EF00FA4D4FA95AC5AA92D5F35CA64C2E81A52F40104F5A0609AC5DAE695CFD87A159Z1A0J" TargetMode="External"/><Relationship Id="rId16" Type="http://schemas.openxmlformats.org/officeDocument/2006/relationships/hyperlink" Target="consultantplus://offline/ref=1D84898A6EF8EF00FA4D4FA95AC5AA92D0F35CA74920DCAF27191C4DZ5ADJ" TargetMode="External"/><Relationship Id="rId17" Type="http://schemas.openxmlformats.org/officeDocument/2006/relationships/hyperlink" Target="consultantplus://offline/ref=9FADFAD757930F0B8FA42C5DB202086D7F9B5209C289BACE66369471W5TCK" TargetMode="External"/><Relationship Id="rId18" Type="http://schemas.openxmlformats.org/officeDocument/2006/relationships/hyperlink" Target="consultantplus://offline/ref=1D84898A6EF8EF00FA4D4FA95AC5AA92D0F35CA74920DCAF27191C4DZ5ADJ" TargetMode="External"/><Relationship Id="rId19" Type="http://schemas.openxmlformats.org/officeDocument/2006/relationships/hyperlink" Target="consultantplus://offline/ref=1D84898A6EF8EF00FA4D4FA95AC5AA92D5F35CA64C2E81A52F40104F5A0609AC5DAE695CFD87A159Z1A0J" TargetMode="External"/><Relationship Id="rId20" Type="http://schemas.openxmlformats.org/officeDocument/2006/relationships/hyperlink" Target="consultantplus://offline/ref=1D84898A6EF8EF00FA4D4FA95AC5AA92D5F35CA64C2E81A52F40104F5A0609AC5DAE695CFD87A159Z1A0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0BF4-20BE-42AC-BAA5-2D0A637D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Mashburo</cp:lastModifiedBy>
  <cp:revision>43</cp:revision>
  <dcterms:created xsi:type="dcterms:W3CDTF">2022-03-31T07:19:00Z</dcterms:created>
  <dcterms:modified xsi:type="dcterms:W3CDTF">2025-11-06T05:41:40Z</dcterms:modified>
  <cp:version>983040</cp:version>
</cp:coreProperties>
</file>