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25"/>
        <w:jc w:val="left"/>
        <w:rPr>
          <w:b/>
          <w:sz w:val="24"/>
          <w:szCs w:val="24"/>
        </w:rPr>
      </w:pPr>
      <w:r>
        <w:rPr>
          <w:b/>
          <w:sz w:val="20"/>
        </w:rPr>
        <w:t xml:space="preserve">                                  ХАНТЫ-МАНСИЙСКИЙ АВТОНОМНЫЙ ОКРУГ – ЮГРА  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2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2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23"/>
        <w:jc w:val="left"/>
        <w:rPr>
          <w:b w:val="0"/>
          <w:sz w:val="24"/>
          <w:szCs w:val="24"/>
        </w:rPr>
      </w:pPr>
      <w:r>
        <w:t xml:space="preserve">                                              ПОСТАНОВЛЕНИЕ                               </w:t>
      </w:r>
      <w:r>
        <w:rPr>
          <w:b w:val="0"/>
          <w:sz w:val="24"/>
          <w:szCs w:val="24"/>
        </w:rPr>
        <w:t xml:space="preserve">проект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r>
        <w:t xml:space="preserve">  </w:t>
      </w:r>
      <w:r/>
    </w:p>
    <w:p>
      <w:pPr>
        <w:pStyle w:val="905"/>
      </w:pPr>
      <w:r/>
      <w:r/>
    </w:p>
    <w:p>
      <w:pPr>
        <w:pStyle w:val="905"/>
        <w:jc w:val="both"/>
        <w:rPr>
          <w:b/>
          <w:sz w:val="26"/>
        </w:rPr>
      </w:pPr>
      <w:r>
        <w:t xml:space="preserve">от __ ________ 202</w:t>
      </w:r>
      <w:r>
        <w:t xml:space="preserve">5</w:t>
      </w:r>
      <w:r>
        <w:t xml:space="preserve"> года                                     </w:t>
      </w:r>
      <w:r>
        <w:tab/>
        <w:t xml:space="preserve">                                                       № </w:t>
      </w:r>
      <w:r>
        <w:rPr>
          <w:b/>
          <w:sz w:val="26"/>
        </w:rPr>
      </w:r>
      <w:r>
        <w:rPr>
          <w:b/>
          <w:sz w:val="26"/>
        </w:rPr>
      </w:r>
    </w:p>
    <w:p>
      <w:pPr>
        <w:pStyle w:val="90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0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05"/>
        <w:rPr>
          <w:b/>
        </w:rPr>
      </w:pPr>
      <w:r>
        <w:rPr>
          <w:b/>
        </w:rPr>
        <w:t xml:space="preserve">О внесении изменений в приложение к постановлению</w:t>
      </w:r>
      <w:r>
        <w:rPr>
          <w:b/>
        </w:rPr>
      </w:r>
      <w:r>
        <w:rPr>
          <w:b/>
        </w:rPr>
      </w:r>
    </w:p>
    <w:p>
      <w:pPr>
        <w:pStyle w:val="905"/>
        <w:rPr>
          <w:b/>
        </w:rPr>
      </w:pPr>
      <w:r>
        <w:rPr>
          <w:b/>
        </w:rPr>
        <w:t xml:space="preserve"> администрации Белоярского района от 2 октября 2017 года № 908</w:t>
      </w:r>
      <w:r>
        <w:rPr>
          <w:b/>
        </w:rPr>
      </w:r>
      <w:r>
        <w:rPr>
          <w:b/>
        </w:rPr>
      </w:r>
    </w:p>
    <w:p>
      <w:pPr>
        <w:pStyle w:val="905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</w:pPr>
      <w:r/>
      <w:r/>
    </w:p>
    <w:p>
      <w:pPr>
        <w:pStyle w:val="905"/>
        <w:ind w:firstLine="708"/>
        <w:jc w:val="both"/>
      </w:pPr>
      <w:r>
        <w:t xml:space="preserve">В соответствии с постановлением администрации Белоярского района от 15 октября 2025 года № 660 «Об увеличении фондов оплаты труда муниципальных учреждений Белоярского района» п о с т а н о в л я ю:</w:t>
      </w:r>
      <w:r/>
    </w:p>
    <w:p>
      <w:pPr>
        <w:pStyle w:val="905"/>
        <w:ind w:firstLine="720"/>
        <w:jc w:val="both"/>
        <w:rPr>
          <w:rFonts w:cs="Calibri"/>
        </w:rPr>
      </w:pPr>
      <w:r>
        <w:t xml:space="preserve">П</w:t>
      </w:r>
      <w:r>
        <w:rPr>
          <w:szCs w:val="24"/>
        </w:rPr>
        <w:t xml:space="preserve"> о с т а н о в л я ю</w:t>
      </w:r>
      <w:r>
        <w:rPr>
          <w:rFonts w:cs="Calibri"/>
        </w:rPr>
        <w:t xml:space="preserve">:</w:t>
      </w:r>
      <w:r>
        <w:rPr>
          <w:rFonts w:cs="Calibri"/>
        </w:rPr>
      </w:r>
      <w:r>
        <w:rPr>
          <w:rFonts w:cs="Calibri"/>
        </w:rPr>
      </w:r>
    </w:p>
    <w:p>
      <w:pPr>
        <w:pStyle w:val="905"/>
        <w:ind w:firstLine="720"/>
        <w:jc w:val="both"/>
      </w:pPr>
      <w:r>
        <w:rPr>
          <w:rFonts w:cs="Calibri"/>
        </w:rPr>
        <w:t xml:space="preserve">1. В</w:t>
      </w:r>
      <w:r>
        <w:t xml:space="preserve">нести в приложение «Положение об </w:t>
      </w:r>
      <w:r>
        <w:t xml:space="preserve">установлении системы оплаты труда работников муниципальных учреждений, подведомственных Комитету по делам молодежи, физической культуре и спорту администрации Белоярского района» к постановлению администрации Белоярского района от 2 октября 2017 года № 908</w:t>
      </w:r>
      <w:r>
        <w:t xml:space="preserve">                           «Об утверждении Положения об установлении системы оплаты  труда работников муниципальных учреждений, подведомственных Комитету по делам молодежи, физической культуре и спорту администрации Белоярского района» следующие изменения:</w:t>
      </w:r>
      <w:r/>
    </w:p>
    <w:p>
      <w:pPr>
        <w:pStyle w:val="905"/>
        <w:ind w:firstLine="720"/>
        <w:jc w:val="both"/>
      </w:pPr>
      <w:r>
        <w:t xml:space="preserve">1) в разделе 2 «Основные условия оплаты труда»:</w:t>
      </w:r>
      <w:r/>
    </w:p>
    <w:p>
      <w:pPr>
        <w:ind w:firstLine="720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а) таблицу 1, содержащуюся в пункте 2, изложить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/>
      <w:bookmarkStart w:id="0" w:name="Par7"/>
      <w:r/>
      <w:bookmarkEnd w:id="0"/>
      <w:r>
        <w:rPr>
          <w:sz w:val="24"/>
          <w:szCs w:val="24"/>
        </w:rPr>
        <w:t xml:space="preserve">Профессиональные квалификационные группы должностей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руководителей, специалистов, служащих и размеры окладов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(должностных окладов)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2410"/>
      </w:tblGrid>
      <w:tr>
        <w:tblPrEx/>
        <w:trPr>
          <w:jc w:val="center"/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оклада (должностного оклада),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01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квалификационные группы должностей работников физической культуры и спорта (утверждены </w:t>
            </w:r>
            <w:hyperlink r:id="rId13" w:tooltip="consultantplus://offline/ref=1D84898A6EF8EF00FA4D4FA95AC5AA92D6F85EA5482D81A52F40104F5AZ0A6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6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«Должности работников физической культуры и спорта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спорту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</w:pPr>
            <w:r>
              <w:rPr>
                <w:sz w:val="24"/>
                <w:szCs w:val="24"/>
              </w:rPr>
              <w:t xml:space="preserve">инструктор-методист по адаптивной физической    культуре; инструктор-методист        физкультурно-спортивных организаций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54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(утверждены </w:t>
            </w:r>
            <w:hyperlink r:id="rId14" w:tooltip="consultantplus://offline/ref=1D84898A6EF8EF00FA4D4FA95AC5AA92DFFE58A64D20DCAF27191C4DZ5AD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Министерства здравоохранения и социального развития Российской Федерации от 29 мая 2008 года                № 247н «Об утверждении профессиональных квалификационных групп общеотраслевых должностей руководителей, специалистов и служащих»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/>
            <w:bookmarkStart w:id="1" w:name="Par40"/>
            <w:r/>
            <w:bookmarkEnd w:id="1"/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делопроизводитель; кассир; нарядчик; учетчик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1 квалификационного уровня, по которым может устанавливаться производное должностное наименование «старший»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33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/>
            <w:bookmarkStart w:id="2" w:name="Par49"/>
            <w:r/>
            <w:bookmarkEnd w:id="2"/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администратор; специалист по работе с молодежью; техник; техник-программист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0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/>
            <w:bookmarkStart w:id="3" w:name="Par56"/>
            <w:r/>
            <w:bookmarkEnd w:id="3"/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1 квалификационного уровня, по которым устанавливается производное должностное наименование «старший»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7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12332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4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r>
              <w:rPr>
                <w:sz w:val="24"/>
                <w:szCs w:val="24"/>
              </w:rPr>
              <w:t xml:space="preserve">внутридолжностная</w:t>
            </w:r>
            <w:r>
              <w:rPr>
                <w:sz w:val="24"/>
                <w:szCs w:val="24"/>
              </w:rPr>
              <w:t xml:space="preserve"> категория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5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/>
            <w:bookmarkStart w:id="4" w:name="Par61"/>
            <w:r/>
            <w:bookmarkEnd w:id="4"/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третьего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бухгалтер; специалист по кадрам; экономист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четвертого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энергетик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таблицу 2, содержащуюся в пункте 3, изложить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Профессиональные квалификационные группы общеотраслевых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профессий рабочих и размеры окладов (должностных окладов)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1"/>
        <w:gridCol w:w="4962"/>
        <w:gridCol w:w="1843"/>
      </w:tblGrid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квалификационным уровням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оклада (должностного оклада),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профессии рабочих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15" w:tooltip="consultantplus://offline/ref=1D84898A6EF8EF00FA4D4FA95AC5AA92D5F35CA64C2E81A52F40104F5A0609AC5DAE695CFD87A159Z1A0J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1 квалификационному уровню в соответствии с </w:t>
            </w:r>
            <w:hyperlink r:id="rId16" w:tooltip="consultantplus://offline/ref=1D84898A6EF8EF00FA4D4FA95AC5AA92D0F35CA74920DCAF27191C4DZ5AD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№ 248н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</w:t>
            </w:r>
            <w:hyperlink w:tooltip="#Par102" w:anchor="Par102" w:history="1">
              <w:r>
                <w:rPr>
                  <w:sz w:val="24"/>
                  <w:szCs w:val="24"/>
                </w:rPr>
                <w:t xml:space="preserve">1 квалификационному уровню</w:t>
              </w:r>
            </w:hyperlink>
            <w:r>
              <w:rPr>
                <w:sz w:val="24"/>
                <w:szCs w:val="24"/>
              </w:rPr>
              <w:t xml:space="preserve">, при выполнении работ по профессии с производным наименованием «старший» (старший по смене)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профессии рабочих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7" w:tooltip="consultantplus://offline/ref=9FADFAD757930F0B8FA42C5DB202086D7F9B5209C289BACE66369471W5TCK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</w:t>
            </w:r>
            <w:hyperlink w:tooltip="#Par122" w:anchor="Par122" w:history="1">
              <w:r>
                <w:rPr>
                  <w:sz w:val="24"/>
                  <w:szCs w:val="24"/>
                </w:rPr>
                <w:t xml:space="preserve">1 квалификационному уровню</w:t>
              </w:r>
            </w:hyperlink>
            <w:r>
              <w:rPr>
                <w:sz w:val="24"/>
                <w:szCs w:val="24"/>
              </w:rPr>
              <w:t xml:space="preserve"> в соответствии с </w:t>
            </w:r>
            <w:hyperlink r:id="rId18" w:tooltip="consultantplus://offline/ref=1D84898A6EF8EF00FA4D4FA95AC5AA92D0F35CA74920DCAF27191C4DZ5AD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№ 248н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9" w:tooltip="consultantplus://offline/ref=1D84898A6EF8EF00FA4D4FA95AC5AA92D5F35CA64C2E81A52F40104F5A0609AC5DAE695CFD87A159Z1A0J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8 квалификационных разрядов в соответствии с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Единым </w:t>
            </w:r>
            <w:r>
              <w:rPr>
                <w:sz w:val="24"/>
                <w:szCs w:val="24"/>
              </w:rPr>
              <w:t xml:space="preserve">тарифно-квалификационным </w:t>
            </w:r>
            <w:hyperlink r:id="rId20" w:tooltip="consultantplus://offline/ref=1D84898A6EF8EF00FA4D4FA95AC5AA92D5F35CA64C2E81A52F40104F5A0609AC5DAE695CFD87A159Z1A0J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таблицу 3, содержащуюся в пункте 4,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Размеры окладов (должностных окладов) по должностям,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не включенным в профессиональные квалификационные группы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529"/>
        <w:gridCol w:w="326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оклада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(должностного оклада)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(рублей)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val="en-AU" w:eastAsia="en-US"/>
              </w:rPr>
            </w:pPr>
            <w:r>
              <w:rPr>
                <w:sz w:val="24"/>
                <w:szCs w:val="24"/>
                <w:lang w:val="en-AU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val="en-AU" w:eastAsia="en-US"/>
              </w:rPr>
            </w:pPr>
            <w:r>
              <w:rPr>
                <w:sz w:val="24"/>
                <w:szCs w:val="24"/>
                <w:lang w:val="en-AU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val="en-AU" w:eastAsia="en-US"/>
              </w:rPr>
            </w:pPr>
            <w:r>
              <w:rPr>
                <w:sz w:val="24"/>
                <w:szCs w:val="24"/>
                <w:lang w:val="en-AU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</w:p>
        </w:tc>
      </w:tr>
      <w:tr>
        <w:tblPrEx/>
        <w:trPr>
          <w:trHeight w:val="1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 по стирке и ремонту спецодежды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ремонтировщик</w:t>
            </w:r>
            <w:r>
              <w:rPr>
                <w:sz w:val="24"/>
                <w:szCs w:val="24"/>
              </w:rPr>
              <w:t xml:space="preserve"> спортивного инвентаря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10481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водитель льдоуборочной машины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10481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pStyle w:val="905"/>
              <w:jc w:val="left"/>
              <w:rPr>
                <w:highlight w:val="red"/>
              </w:rPr>
            </w:pPr>
            <w:r>
              <w:t xml:space="preserve">кладовщик-калькулятор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10645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техник службы водно-канализационной и отопления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11712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 службы холодильного оборудования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 электронно-информационного оборудования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pStyle w:val="905"/>
              <w:jc w:val="both"/>
              <w:rPr>
                <w:szCs w:val="24"/>
                <w:highlight w:val="red"/>
              </w:rPr>
            </w:pPr>
            <w:r>
              <w:t xml:space="preserve">мастер</w:t>
            </w:r>
            <w:r>
              <w:rPr>
                <w:szCs w:val="24"/>
                <w:highlight w:val="red"/>
              </w:rPr>
            </w:r>
            <w:r>
              <w:rPr>
                <w:szCs w:val="24"/>
                <w:highlight w:val="red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12637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rPr>
                <w:szCs w:val="24"/>
              </w:rPr>
              <w:t xml:space="preserve">специалист по охране труда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12952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12952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по организации эксплуатации и ремонту зданий и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12952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16339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11712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ind w:firstLine="720"/>
        <w:jc w:val="both"/>
      </w:pPr>
      <w:r>
        <w:t xml:space="preserve">2) таблицу 7, содержащуюся в пункте 2 раздела 5 «Порядок и условия оплаты труда руководителя учреждения, заместителей руководителя, главного бухгалтера», изложить в следующей редакции: </w:t>
      </w:r>
      <w:r/>
    </w:p>
    <w:p>
      <w:pPr>
        <w:pStyle w:val="905"/>
        <w:jc w:val="both"/>
      </w:pPr>
      <w:r>
        <w:t xml:space="preserve">«</w:t>
      </w:r>
      <w:r/>
    </w:p>
    <w:p>
      <w:pPr>
        <w:pStyle w:val="905"/>
        <w:ind w:firstLine="720"/>
        <w:jc w:val="right"/>
      </w:pPr>
      <w:r>
        <w:t xml:space="preserve">                                                                                                                          Таблица 7</w:t>
      </w:r>
      <w:r/>
    </w:p>
    <w:p>
      <w:pPr>
        <w:pStyle w:val="7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Размеры окладов (должностных окладов) руководителя учреждения,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его заместителей и главного бухгалтера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91"/>
        <w:gridCol w:w="3827"/>
      </w:tblGrid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по оплате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 (должностной оклад),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22365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5"/>
        <w:ind w:firstLine="720"/>
        <w:jc w:val="right"/>
      </w:pPr>
      <w:r>
        <w:t xml:space="preserve">                                                                                                                                          ».</w:t>
      </w:r>
      <w:r/>
    </w:p>
    <w:p>
      <w:pPr>
        <w:pStyle w:val="905"/>
        <w:ind w:firstLine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905"/>
        <w:ind w:firstLine="720"/>
        <w:jc w:val="both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pStyle w:val="905"/>
        <w:ind w:firstLine="720"/>
        <w:jc w:val="both"/>
      </w:pPr>
      <w:r>
        <w:t xml:space="preserve">3. </w:t>
      </w:r>
      <w:r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опубликования, и распространяется на правоотношения, возникшие с 1 октября 2025 года.</w:t>
      </w:r>
      <w:r/>
      <w:r/>
      <w:r/>
    </w:p>
    <w:p>
      <w:pPr>
        <w:pStyle w:val="905"/>
        <w:ind w:firstLine="720"/>
        <w:jc w:val="both"/>
      </w:pPr>
      <w: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pStyle w:val="905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5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5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5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  <w:t xml:space="preserve">Глава Белоярского района </w:t>
      </w:r>
      <w:r>
        <w:rPr>
          <w:szCs w:val="24"/>
        </w:rPr>
        <w:tab/>
        <w:t xml:space="preserve">               </w:t>
      </w:r>
      <w:r>
        <w:rPr>
          <w:szCs w:val="24"/>
        </w:rPr>
        <w:t xml:space="preserve">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079" w:right="850" w:bottom="594" w:left="1701" w:header="708" w:footer="708" w:gutter="0"/>
          <w:cols w:num="1" w:sep="0" w:space="708" w:equalWidth="1"/>
          <w:docGrid w:linePitch="360"/>
          <w:titlePg/>
        </w:sectPr>
      </w:pPr>
      <w:r/>
      <w:r/>
    </w:p>
    <w:p>
      <w:pPr>
        <w:pStyle w:val="905"/>
        <w:jc w:val="both"/>
      </w:pPr>
      <w:r>
        <w:t xml:space="preserve">Рассылка: </w:t>
      </w:r>
      <w:r/>
    </w:p>
    <w:p>
      <w:pPr>
        <w:pStyle w:val="905"/>
        <w:jc w:val="both"/>
      </w:pPr>
      <w:r>
        <w:t xml:space="preserve">Бюджетный отдел – 1 экз.</w:t>
      </w:r>
      <w:r/>
    </w:p>
    <w:p>
      <w:pPr>
        <w:pStyle w:val="905"/>
        <w:jc w:val="both"/>
      </w:pPr>
      <w:r>
        <w:t xml:space="preserve">КДМ, ФК и С – 5 экз.</w:t>
      </w:r>
      <w:r/>
    </w:p>
    <w:p>
      <w:pPr>
        <w:pStyle w:val="905"/>
        <w:jc w:val="both"/>
      </w:pPr>
      <w:r>
        <w:t xml:space="preserve">Трехсторонняя комиссия – 3 экз.</w:t>
      </w:r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>
        <w:t xml:space="preserve">Контрольно-счетная палата                                                ______________________</w:t>
      </w:r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>
        <w:t xml:space="preserve">Комитет по финансам                                                          _____________________</w:t>
      </w:r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>
        <w:t xml:space="preserve">Заместитель главы Белоярского района</w:t>
      </w:r>
      <w:r/>
    </w:p>
    <w:p>
      <w:pPr>
        <w:pStyle w:val="905"/>
        <w:jc w:val="both"/>
      </w:pPr>
      <w:r>
        <w:t xml:space="preserve">по социальным вопросам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 xml:space="preserve">Н.В.Сокол</w:t>
      </w:r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>
        <w:t xml:space="preserve">Председатель КДМ, ФК и С                                                                   </w:t>
      </w:r>
      <w:r>
        <w:tab/>
      </w:r>
      <w:r>
        <w:t xml:space="preserve">А.В.Майборода</w:t>
      </w:r>
      <w:r/>
    </w:p>
    <w:p>
      <w:pPr>
        <w:pStyle w:val="905"/>
        <w:jc w:val="both"/>
      </w:pPr>
      <w:r/>
      <w:r/>
    </w:p>
    <w:p>
      <w:pPr>
        <w:pStyle w:val="905"/>
        <w:jc w:val="both"/>
      </w:pPr>
      <w:r/>
      <w:r/>
    </w:p>
    <w:p>
      <w:pPr>
        <w:pStyle w:val="905"/>
        <w:jc w:val="both"/>
      </w:pPr>
      <w:r>
        <w:t xml:space="preserve">Исполнитель: ___________ </w:t>
      </w:r>
      <w:r>
        <w:t xml:space="preserve">Шапошникова И.Р.</w:t>
      </w:r>
      <w:r>
        <w:t xml:space="preserve">, 21797</w:t>
      </w:r>
      <w:r/>
    </w:p>
    <w:p>
      <w:pPr>
        <w:pStyle w:val="905"/>
        <w:jc w:val="both"/>
      </w:pPr>
      <w:r>
        <w:t xml:space="preserve"> </w:t>
      </w:r>
      <w:r/>
    </w:p>
    <w:p>
      <w:pPr>
        <w:pStyle w:val="905"/>
        <w:jc w:val="both"/>
      </w:pPr>
      <w:r>
        <w:t xml:space="preserve">Начальник отдела централизованного планирования и учета </w:t>
      </w:r>
      <w:r>
        <w:t xml:space="preserve">_____________ Дунаева Д.П. 23001</w:t>
      </w:r>
      <w:r/>
    </w:p>
    <w:sectPr>
      <w:footnotePr/>
      <w:endnotePr/>
      <w:type w:val="nextPage"/>
      <w:pgSz w:w="11906" w:h="16838" w:orient="portrait"/>
      <w:pgMar w:top="1079" w:right="850" w:bottom="89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separate"/>
    </w:r>
    <w:r>
      <w:rPr>
        <w:rStyle w:val="904"/>
      </w:rPr>
      <w:t xml:space="preserve">4</w: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754"/>
      <w:rPr>
        <w:rStyle w:val="904"/>
      </w:rPr>
      <w:framePr w:wrap="around" w:vAnchor="text" w:hAnchor="margin" w:xAlign="center" w:y="1"/>
    </w:pPr>
    <w:r>
      <w:rPr>
        <w:rStyle w:val="904"/>
      </w:rPr>
    </w:r>
    <w:r>
      <w:rPr>
        <w:rStyle w:val="904"/>
      </w:rPr>
    </w:r>
    <w:r>
      <w:rPr>
        <w:rStyle w:val="904"/>
      </w:rPr>
    </w:r>
  </w:p>
  <w:p>
    <w:pPr>
      <w:pStyle w:val="754"/>
      <w:rPr>
        <w:rStyle w:val="904"/>
      </w:rPr>
      <w:framePr w:wrap="around" w:vAnchor="text" w:hAnchor="margin" w:xAlign="center" w:y="1"/>
    </w:pPr>
    <w:r>
      <w:rPr>
        <w:rStyle w:val="904"/>
      </w:rPr>
    </w:r>
    <w:r>
      <w:rPr>
        <w:rStyle w:val="904"/>
      </w:rPr>
    </w:r>
    <w:r>
      <w:rPr>
        <w:rStyle w:val="904"/>
      </w:rPr>
    </w:r>
  </w:p>
  <w:p>
    <w:pPr>
      <w:pStyle w:val="7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7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32"/>
    <w:link w:val="724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32"/>
    <w:link w:val="746"/>
    <w:uiPriority w:val="10"/>
    <w:rPr>
      <w:sz w:val="48"/>
      <w:szCs w:val="48"/>
    </w:rPr>
  </w:style>
  <w:style w:type="character" w:styleId="714">
    <w:name w:val="Subtitle Char"/>
    <w:basedOn w:val="732"/>
    <w:link w:val="748"/>
    <w:uiPriority w:val="11"/>
    <w:rPr>
      <w:sz w:val="24"/>
      <w:szCs w:val="24"/>
    </w:rPr>
  </w:style>
  <w:style w:type="character" w:styleId="715">
    <w:name w:val="Quote Char"/>
    <w:link w:val="750"/>
    <w:uiPriority w:val="29"/>
    <w:rPr>
      <w:i/>
    </w:rPr>
  </w:style>
  <w:style w:type="character" w:styleId="716">
    <w:name w:val="Intense Quote Char"/>
    <w:link w:val="752"/>
    <w:uiPriority w:val="30"/>
    <w:rPr>
      <w:i/>
    </w:rPr>
  </w:style>
  <w:style w:type="character" w:styleId="717">
    <w:name w:val="Header Char"/>
    <w:basedOn w:val="732"/>
    <w:link w:val="754"/>
    <w:uiPriority w:val="99"/>
  </w:style>
  <w:style w:type="character" w:styleId="718">
    <w:name w:val="Footer Char"/>
    <w:basedOn w:val="732"/>
    <w:link w:val="756"/>
    <w:uiPriority w:val="99"/>
  </w:style>
  <w:style w:type="character" w:styleId="719">
    <w:name w:val="Caption Char"/>
    <w:basedOn w:val="732"/>
    <w:link w:val="758"/>
    <w:uiPriority w:val="35"/>
    <w:rPr>
      <w:b/>
      <w:bCs/>
      <w:color w:val="4f81bd" w:themeColor="accent1"/>
      <w:sz w:val="18"/>
      <w:szCs w:val="18"/>
    </w:rPr>
  </w:style>
  <w:style w:type="character" w:styleId="720">
    <w:name w:val="Footnote Text Char"/>
    <w:link w:val="887"/>
    <w:uiPriority w:val="99"/>
    <w:rPr>
      <w:sz w:val="18"/>
    </w:rPr>
  </w:style>
  <w:style w:type="character" w:styleId="721">
    <w:name w:val="Endnote Text Char"/>
    <w:link w:val="890"/>
    <w:uiPriority w:val="99"/>
    <w:rPr>
      <w:sz w:val="20"/>
    </w:rPr>
  </w:style>
  <w:style w:type="paragraph" w:styleId="722" w:default="1">
    <w:name w:val="Normal"/>
    <w:qFormat/>
    <w:rPr>
      <w:lang w:eastAsia="ru-RU"/>
    </w:rPr>
  </w:style>
  <w:style w:type="paragraph" w:styleId="723">
    <w:name w:val="Heading 1"/>
    <w:basedOn w:val="722"/>
    <w:next w:val="722"/>
    <w:link w:val="735"/>
    <w:qFormat/>
    <w:pPr>
      <w:jc w:val="center"/>
      <w:keepNext/>
      <w:outlineLvl w:val="0"/>
    </w:pPr>
    <w:rPr>
      <w:b/>
      <w:sz w:val="28"/>
    </w:rPr>
  </w:style>
  <w:style w:type="paragraph" w:styleId="724">
    <w:name w:val="Heading 2"/>
    <w:basedOn w:val="722"/>
    <w:next w:val="722"/>
    <w:link w:val="736"/>
    <w:qFormat/>
    <w:pPr>
      <w:jc w:val="center"/>
      <w:keepNext/>
      <w:outlineLvl w:val="1"/>
    </w:pPr>
    <w:rPr>
      <w:b/>
      <w:sz w:val="24"/>
    </w:rPr>
  </w:style>
  <w:style w:type="paragraph" w:styleId="725">
    <w:name w:val="Heading 3"/>
    <w:basedOn w:val="722"/>
    <w:next w:val="722"/>
    <w:link w:val="737"/>
    <w:qFormat/>
    <w:pPr>
      <w:jc w:val="center"/>
      <w:keepNext/>
      <w:outlineLvl w:val="2"/>
    </w:pPr>
    <w:rPr>
      <w:sz w:val="28"/>
    </w:rPr>
  </w:style>
  <w:style w:type="paragraph" w:styleId="726">
    <w:name w:val="Heading 4"/>
    <w:basedOn w:val="722"/>
    <w:next w:val="722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Заголовок 1 Знак"/>
    <w:link w:val="723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24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25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22"/>
    <w:qFormat/>
    <w:pPr>
      <w:contextualSpacing/>
      <w:ind w:left="720"/>
    </w:pPr>
    <w:rPr>
      <w:sz w:val="24"/>
      <w:szCs w:val="24"/>
    </w:rPr>
  </w:style>
  <w:style w:type="paragraph" w:styleId="745">
    <w:name w:val="No Spacing"/>
    <w:uiPriority w:val="1"/>
    <w:qFormat/>
    <w:rPr>
      <w:lang w:eastAsia="ru-RU"/>
    </w:rPr>
  </w:style>
  <w:style w:type="paragraph" w:styleId="746">
    <w:name w:val="Title"/>
    <w:basedOn w:val="722"/>
    <w:next w:val="722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link w:val="746"/>
    <w:uiPriority w:val="10"/>
    <w:rPr>
      <w:sz w:val="48"/>
      <w:szCs w:val="48"/>
    </w:rPr>
  </w:style>
  <w:style w:type="paragraph" w:styleId="748">
    <w:name w:val="Subtitle"/>
    <w:basedOn w:val="722"/>
    <w:next w:val="722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link w:val="748"/>
    <w:uiPriority w:val="11"/>
    <w:rPr>
      <w:sz w:val="24"/>
      <w:szCs w:val="24"/>
    </w:rPr>
  </w:style>
  <w:style w:type="paragraph" w:styleId="750">
    <w:name w:val="Quote"/>
    <w:basedOn w:val="722"/>
    <w:next w:val="722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2"/>
    <w:next w:val="722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22"/>
    <w:link w:val="755"/>
    <w:pPr>
      <w:tabs>
        <w:tab w:val="center" w:pos="4677" w:leader="none"/>
        <w:tab w:val="right" w:pos="9355" w:leader="none"/>
      </w:tabs>
    </w:pPr>
  </w:style>
  <w:style w:type="character" w:styleId="755" w:customStyle="1">
    <w:name w:val="Верхний колонтитул Знак"/>
    <w:link w:val="754"/>
    <w:uiPriority w:val="99"/>
  </w:style>
  <w:style w:type="paragraph" w:styleId="756">
    <w:name w:val="Footer"/>
    <w:basedOn w:val="722"/>
    <w:link w:val="757"/>
    <w:pPr>
      <w:tabs>
        <w:tab w:val="center" w:pos="4677" w:leader="none"/>
        <w:tab w:val="right" w:pos="9355" w:leader="none"/>
      </w:tabs>
    </w:pPr>
  </w:style>
  <w:style w:type="character" w:styleId="757" w:customStyle="1">
    <w:name w:val="Нижний колонтитул Знак"/>
    <w:link w:val="756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Название объекта Знак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733"/>
    <w:tblPr/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722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rPr>
      <w:vertAlign w:val="superscript"/>
    </w:rPr>
  </w:style>
  <w:style w:type="paragraph" w:styleId="890">
    <w:name w:val="endnote text"/>
    <w:basedOn w:val="722"/>
    <w:link w:val="891"/>
    <w:uiPriority w:val="99"/>
    <w:semiHidden/>
    <w:unhideWhenUsed/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22"/>
    <w:next w:val="722"/>
    <w:uiPriority w:val="39"/>
    <w:unhideWhenUsed/>
    <w:pPr>
      <w:spacing w:after="57"/>
    </w:pPr>
  </w:style>
  <w:style w:type="paragraph" w:styleId="894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5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6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7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8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9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00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01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2"/>
    <w:next w:val="722"/>
    <w:uiPriority w:val="99"/>
    <w:unhideWhenUsed/>
  </w:style>
  <w:style w:type="character" w:styleId="904">
    <w:name w:val="page number"/>
    <w:basedOn w:val="732"/>
  </w:style>
  <w:style w:type="paragraph" w:styleId="905">
    <w:name w:val="Body Text Indent 3"/>
    <w:basedOn w:val="722"/>
    <w:link w:val="913"/>
    <w:pPr>
      <w:jc w:val="center"/>
    </w:pPr>
    <w:rPr>
      <w:sz w:val="24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07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character" w:styleId="908" w:customStyle="1">
    <w:name w:val="apple-converted-space"/>
    <w:basedOn w:val="732"/>
  </w:style>
  <w:style w:type="character" w:styleId="909">
    <w:name w:val="Emphasis"/>
    <w:qFormat/>
    <w:rPr>
      <w:i/>
      <w:iCs/>
    </w:rPr>
  </w:style>
  <w:style w:type="paragraph" w:styleId="910" w:customStyle="1">
    <w:name w:val="Знак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1">
    <w:name w:val="Balloon Text"/>
    <w:basedOn w:val="722"/>
    <w:link w:val="912"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rPr>
      <w:rFonts w:ascii="Segoe UI" w:hAnsi="Segoe UI" w:cs="Segoe UI"/>
      <w:sz w:val="18"/>
      <w:szCs w:val="18"/>
    </w:rPr>
  </w:style>
  <w:style w:type="character" w:styleId="913" w:customStyle="1">
    <w:name w:val="Основной текст с отступом 3 Знак"/>
    <w:link w:val="905"/>
    <w:rPr>
      <w:sz w:val="24"/>
    </w:rPr>
  </w:style>
  <w:style w:type="paragraph" w:styleId="914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consultantplus://offline/ref=1D84898A6EF8EF00FA4D4FA95AC5AA92D6F85EA5482D81A52F40104F5AZ0A6J" TargetMode="External"/><Relationship Id="rId14" Type="http://schemas.openxmlformats.org/officeDocument/2006/relationships/hyperlink" Target="consultantplus://offline/ref=1D84898A6EF8EF00FA4D4FA95AC5AA92DFFE58A64D20DCAF27191C4DZ5ADJ" TargetMode="External"/><Relationship Id="rId15" Type="http://schemas.openxmlformats.org/officeDocument/2006/relationships/hyperlink" Target="consultantplus://offline/ref=1D84898A6EF8EF00FA4D4FA95AC5AA92D5F35CA64C2E81A52F40104F5A0609AC5DAE695CFD87A159Z1A0J" TargetMode="External"/><Relationship Id="rId16" Type="http://schemas.openxmlformats.org/officeDocument/2006/relationships/hyperlink" Target="consultantplus://offline/ref=1D84898A6EF8EF00FA4D4FA95AC5AA92D0F35CA74920DCAF27191C4DZ5ADJ" TargetMode="External"/><Relationship Id="rId17" Type="http://schemas.openxmlformats.org/officeDocument/2006/relationships/hyperlink" Target="consultantplus://offline/ref=9FADFAD757930F0B8FA42C5DB202086D7F9B5209C289BACE66369471W5TCK" TargetMode="External"/><Relationship Id="rId18" Type="http://schemas.openxmlformats.org/officeDocument/2006/relationships/hyperlink" Target="consultantplus://offline/ref=1D84898A6EF8EF00FA4D4FA95AC5AA92D0F35CA74920DCAF27191C4DZ5ADJ" TargetMode="External"/><Relationship Id="rId19" Type="http://schemas.openxmlformats.org/officeDocument/2006/relationships/hyperlink" Target="consultantplus://offline/ref=1D84898A6EF8EF00FA4D4FA95AC5AA92D5F35CA64C2E81A52F40104F5A0609AC5DAE695CFD87A159Z1A0J" TargetMode="External"/><Relationship Id="rId20" Type="http://schemas.openxmlformats.org/officeDocument/2006/relationships/hyperlink" Target="consultantplus://offline/ref=1D84898A6EF8EF00FA4D4FA95AC5AA92D5F35CA64C2E81A52F40104F5A0609AC5DAE695CFD87A159Z1A0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0BF4-20BE-42AC-BAA5-2D0A637D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KrizhanovskayaAP</cp:lastModifiedBy>
  <cp:revision>41</cp:revision>
  <dcterms:created xsi:type="dcterms:W3CDTF">2022-03-31T07:19:00Z</dcterms:created>
  <dcterms:modified xsi:type="dcterms:W3CDTF">2025-10-24T06:26:30Z</dcterms:modified>
  <cp:version>983040</cp:version>
</cp:coreProperties>
</file>