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 Порядке предоставления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»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Регулирующий орган: управление 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13.12.2023-26.12.2023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ru-RU"/>
              </w:rPr>
              <w:t>Способ направления ответов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или в форме документа на бумажном носителе по почте: 628161 ул. Центральная, д.9, г.Белоярский,    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  <w:t>главный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2"/>
                <w:szCs w:val="22"/>
                <w:lang w:eastAsia="ru-RU"/>
              </w:rPr>
              <w:t>тел (34670) 4-14-61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 Порядке предоставления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собственного производства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</w:rPr>
              <w:t xml:space="preserve"> определяет правила предоставления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 </w:t>
            </w:r>
            <w:r>
              <w:rPr>
                <w:rFonts w:hint="default" w:ascii="Times New Roman" w:hAnsi="Times New Roman" w:cs="Times New Roman"/>
                <w:bCs/>
              </w:rPr>
              <w:t xml:space="preserve">(далее – субсидия),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направление её использования,  устанавливает требования к отчетности, контролю за соблюдением условий и порядка предоставления субсидий.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ru-RU"/>
              </w:rPr>
              <w:t>Перечень вопросов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2"/>
          <w:szCs w:val="22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5D52"/>
    <w:rsid w:val="00EC42E2"/>
    <w:rsid w:val="00F122EB"/>
    <w:rsid w:val="00F6019D"/>
    <w:rsid w:val="00F66A87"/>
    <w:rsid w:val="00FA251C"/>
    <w:rsid w:val="00FB6173"/>
    <w:rsid w:val="00FC0BB7"/>
    <w:rsid w:val="00FE3AC4"/>
    <w:rsid w:val="21682AFA"/>
    <w:rsid w:val="26675B0F"/>
    <w:rsid w:val="31A251E4"/>
    <w:rsid w:val="37090CD6"/>
    <w:rsid w:val="492F0B18"/>
    <w:rsid w:val="4A6D6ED4"/>
    <w:rsid w:val="511E423A"/>
    <w:rsid w:val="54C6285F"/>
    <w:rsid w:val="772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553</Words>
  <Characters>3155</Characters>
  <Lines>26</Lines>
  <Paragraphs>7</Paragraphs>
  <TotalTime>6</TotalTime>
  <ScaleCrop>false</ScaleCrop>
  <LinksUpToDate>false</LinksUpToDate>
  <CharactersWithSpaces>3701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YagodkaYV</cp:lastModifiedBy>
  <cp:lastPrinted>2023-12-13T10:53:49Z</cp:lastPrinted>
  <dcterms:modified xsi:type="dcterms:W3CDTF">2023-12-13T10:57:24Z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A20775DDD2E543658CA6BB1F74464193_13</vt:lpwstr>
  </property>
</Properties>
</file>