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7"/>
        <w:jc w:val="center"/>
      </w:pPr>
      <w:r/>
      <w:r/>
    </w:p>
    <w:p>
      <w:pPr>
        <w:pStyle w:val="867"/>
        <w:jc w:val="center"/>
      </w:pPr>
      <w:r>
        <w:t xml:space="preserve">Ханты-Мансийский автономный округ - Югра </w:t>
      </w:r>
      <w:r/>
    </w:p>
    <w:p>
      <w:pPr>
        <w:pStyle w:val="867"/>
        <w:jc w:val="center"/>
      </w:pPr>
      <w:r>
        <w:t xml:space="preserve"> </w:t>
      </w:r>
      <w:r>
        <w:t xml:space="preserve">(Тюменская область) </w:t>
      </w:r>
      <w:r/>
    </w:p>
    <w:p>
      <w:pPr>
        <w:pStyle w:val="867"/>
        <w:jc w:val="center"/>
      </w:pPr>
      <w:r/>
      <w:r/>
    </w:p>
    <w:p>
      <w:pPr>
        <w:pStyle w:val="867"/>
        <w:jc w:val="center"/>
        <w:rPr>
          <w:b/>
          <w:sz w:val="26"/>
        </w:rPr>
      </w:pPr>
      <w:r>
        <w:rPr>
          <w:b/>
          <w:sz w:val="26"/>
        </w:rPr>
        <w:t xml:space="preserve">АДМИНИСТРАЦИЯ</w:t>
      </w:r>
      <w:r>
        <w:rPr>
          <w:b/>
          <w:sz w:val="26"/>
        </w:rPr>
      </w:r>
      <w:r>
        <w:rPr>
          <w:b/>
          <w:sz w:val="26"/>
        </w:rPr>
      </w:r>
    </w:p>
    <w:p>
      <w:pPr>
        <w:pStyle w:val="867"/>
        <w:jc w:val="center"/>
        <w:rPr>
          <w:sz w:val="22"/>
        </w:rPr>
      </w:pPr>
      <w:r>
        <w:rPr>
          <w:b/>
          <w:sz w:val="22"/>
        </w:rPr>
        <w:t xml:space="preserve">БЕЛОЯРСК</w:t>
      </w:r>
      <w:r>
        <w:rPr>
          <w:b/>
          <w:sz w:val="22"/>
        </w:rPr>
        <w:t xml:space="preserve">ОГО РАЙОНА</w:t>
      </w:r>
      <w:r>
        <w:rPr>
          <w:sz w:val="22"/>
        </w:rPr>
      </w:r>
      <w:r>
        <w:rPr>
          <w:sz w:val="22"/>
        </w:rPr>
      </w:r>
    </w:p>
    <w:p>
      <w:pPr>
        <w:pStyle w:val="867"/>
        <w:jc w:val="center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67"/>
        <w:jc w:val="center"/>
        <w:rPr>
          <w:b/>
          <w:sz w:val="32"/>
        </w:rPr>
      </w:pPr>
      <w:r>
        <w:rPr>
          <w:b/>
          <w:sz w:val="32"/>
        </w:rPr>
        <w:t xml:space="preserve">М</w:t>
      </w:r>
      <w:r>
        <w:rPr>
          <w:b/>
          <w:sz w:val="32"/>
        </w:rPr>
        <w:t xml:space="preserve">ежведомственная комиссия по организации </w:t>
      </w:r>
      <w:r>
        <w:rPr>
          <w:b/>
          <w:sz w:val="32"/>
        </w:rPr>
      </w:r>
      <w:r>
        <w:rPr>
          <w:b/>
          <w:sz w:val="32"/>
        </w:rPr>
      </w:r>
    </w:p>
    <w:p>
      <w:pPr>
        <w:pStyle w:val="867"/>
        <w:jc w:val="center"/>
        <w:rPr>
          <w:b/>
          <w:sz w:val="32"/>
        </w:rPr>
      </w:pPr>
      <w:r>
        <w:rPr>
          <w:b/>
          <w:sz w:val="32"/>
        </w:rPr>
        <w:t xml:space="preserve">отдыха,</w:t>
      </w:r>
      <w:r>
        <w:rPr>
          <w:b/>
          <w:sz w:val="32"/>
        </w:rPr>
        <w:t xml:space="preserve"> оздоровления, занятости детей</w:t>
      </w:r>
      <w:r>
        <w:rPr>
          <w:b/>
          <w:sz w:val="32"/>
        </w:rPr>
      </w:r>
      <w:r>
        <w:rPr>
          <w:b/>
          <w:sz w:val="32"/>
        </w:rPr>
      </w:r>
    </w:p>
    <w:p>
      <w:pPr>
        <w:pStyle w:val="867"/>
        <w:jc w:val="center"/>
        <w:rPr>
          <w:b/>
          <w:sz w:val="32"/>
        </w:rPr>
        <w:pBdr>
          <w:bottom w:val="single" w:color="000000" w:sz="12" w:space="1"/>
        </w:pBdr>
      </w:pPr>
      <w:r>
        <w:rPr>
          <w:b/>
          <w:sz w:val="32"/>
        </w:rPr>
        <w:t xml:space="preserve">Белоярского района</w:t>
      </w:r>
      <w:r>
        <w:rPr>
          <w:b/>
          <w:sz w:val="32"/>
        </w:rPr>
      </w:r>
      <w:r>
        <w:rPr>
          <w:b/>
          <w:sz w:val="32"/>
        </w:rPr>
      </w:r>
    </w:p>
    <w:p>
      <w:pPr>
        <w:pStyle w:val="867"/>
        <w:jc w:val="both"/>
        <w:rPr>
          <w:sz w:val="22"/>
        </w:rPr>
      </w:pPr>
      <w:r>
        <w:rPr>
          <w:sz w:val="22"/>
        </w:rPr>
        <w:t xml:space="preserve">ул. Центральная,</w:t>
      </w:r>
      <w:r>
        <w:rPr>
          <w:sz w:val="22"/>
        </w:rPr>
        <w:t xml:space="preserve"> </w:t>
      </w:r>
      <w:r>
        <w:rPr>
          <w:sz w:val="22"/>
        </w:rPr>
        <w:t xml:space="preserve">9 г.</w:t>
      </w:r>
      <w:r>
        <w:rPr>
          <w:sz w:val="22"/>
        </w:rPr>
        <w:t xml:space="preserve"> Б</w:t>
      </w:r>
      <w:r>
        <w:rPr>
          <w:sz w:val="22"/>
        </w:rPr>
        <w:t xml:space="preserve">елоярский, Тюменская область</w:t>
      </w:r>
      <w:r>
        <w:rPr>
          <w:sz w:val="22"/>
        </w:rPr>
      </w:r>
      <w:r>
        <w:rPr>
          <w:sz w:val="22"/>
        </w:rPr>
      </w:r>
    </w:p>
    <w:p>
      <w:pPr>
        <w:pStyle w:val="867"/>
        <w:jc w:val="both"/>
        <w:rPr>
          <w:sz w:val="22"/>
        </w:rPr>
      </w:pPr>
      <w:r>
        <w:rPr>
          <w:sz w:val="22"/>
        </w:rPr>
        <w:t xml:space="preserve">     </w:t>
      </w:r>
      <w:r>
        <w:rPr>
          <w:sz w:val="22"/>
        </w:rPr>
        <w:t xml:space="preserve">Ханты-Мансийский автономный округ</w:t>
      </w:r>
      <w:r>
        <w:rPr>
          <w:sz w:val="22"/>
        </w:rPr>
        <w:t xml:space="preserve"> - Югра</w:t>
      </w:r>
      <w:r>
        <w:rPr>
          <w:sz w:val="22"/>
        </w:rPr>
        <w:t xml:space="preserve">, 628162</w:t>
      </w:r>
      <w:r>
        <w:rPr>
          <w:sz w:val="22"/>
        </w:rPr>
      </w:r>
      <w:r>
        <w:rPr>
          <w:sz w:val="22"/>
        </w:rPr>
      </w:r>
    </w:p>
    <w:p>
      <w:pPr>
        <w:pStyle w:val="867"/>
        <w:jc w:val="both"/>
        <w:rPr>
          <w:sz w:val="22"/>
        </w:rPr>
      </w:pPr>
      <w:r>
        <w:rPr>
          <w:sz w:val="22"/>
        </w:rPr>
        <w:t xml:space="preserve">                    </w:t>
      </w:r>
      <w:r>
        <w:rPr>
          <w:sz w:val="22"/>
        </w:rPr>
        <w:t xml:space="preserve">тел.</w:t>
      </w:r>
      <w:r>
        <w:rPr>
          <w:sz w:val="22"/>
        </w:rPr>
        <w:t xml:space="preserve">  </w:t>
      </w:r>
      <w:r>
        <w:rPr>
          <w:sz w:val="22"/>
        </w:rPr>
        <w:t xml:space="preserve">62-</w:t>
      </w:r>
      <w:r>
        <w:rPr>
          <w:sz w:val="22"/>
        </w:rPr>
        <w:t xml:space="preserve">104, 2</w:t>
      </w:r>
      <w:r>
        <w:rPr>
          <w:sz w:val="22"/>
        </w:rPr>
        <w:t xml:space="preserve">-17-97</w:t>
      </w:r>
      <w:r>
        <w:rPr>
          <w:sz w:val="22"/>
        </w:rPr>
      </w:r>
      <w:r>
        <w:rPr>
          <w:sz w:val="22"/>
        </w:rPr>
      </w:r>
    </w:p>
    <w:p>
      <w:pPr>
        <w:pStyle w:val="867"/>
        <w:rPr>
          <w:sz w:val="26"/>
        </w:rPr>
      </w:pPr>
      <w:r>
        <w:rPr>
          <w:sz w:val="26"/>
        </w:rPr>
      </w:r>
      <w:r>
        <w:rPr>
          <w:sz w:val="26"/>
        </w:rPr>
      </w:r>
      <w:r>
        <w:rPr>
          <w:sz w:val="26"/>
        </w:rPr>
      </w:r>
    </w:p>
    <w:p>
      <w:pPr>
        <w:pStyle w:val="8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заседания межведомственной комиссии по организации отдыха,</w:t>
      </w:r>
      <w:r>
        <w:rPr>
          <w:sz w:val="28"/>
          <w:szCs w:val="28"/>
        </w:rPr>
        <w:t xml:space="preserve"> оздоровления, занятости детей </w:t>
      </w:r>
      <w:r>
        <w:rPr>
          <w:sz w:val="28"/>
          <w:szCs w:val="28"/>
        </w:rPr>
        <w:t xml:space="preserve">Белоярского района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7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7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44"/>
        <w:gridCol w:w="4644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44" w:type="dxa"/>
            <w:vAlign w:val="top"/>
            <w:textDirection w:val="lrTb"/>
            <w:noWrap w:val="false"/>
          </w:tcPr>
          <w:p>
            <w:pPr>
              <w:pStyle w:val="8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проведения: 26</w:t>
            </w:r>
            <w:r>
              <w:rPr>
                <w:sz w:val="28"/>
                <w:szCs w:val="28"/>
              </w:rPr>
              <w:t xml:space="preserve">.12</w:t>
            </w:r>
            <w:r>
              <w:rPr>
                <w:sz w:val="28"/>
                <w:szCs w:val="28"/>
              </w:rPr>
              <w:t xml:space="preserve">.2025</w:t>
            </w:r>
            <w:r>
              <w:rPr>
                <w:sz w:val="28"/>
                <w:szCs w:val="28"/>
              </w:rPr>
              <w:t xml:space="preserve"> г.                                                         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44" w:type="dxa"/>
            <w:vAlign w:val="top"/>
            <w:textDirection w:val="lrTb"/>
            <w:noWrap w:val="false"/>
          </w:tcPr>
          <w:p>
            <w:pPr>
              <w:pStyle w:val="86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67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7"/>
        <w:tabs>
          <w:tab w:val="left" w:pos="7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заседании присутствовали: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Сокол Н.В. – заместитель главы Белоярского района по социальным вопросам, председатель комиссии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Кавецкая С.Р. - секретарь комиссии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7"/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Лукиных С.Л.</w:t>
      </w:r>
      <w:r>
        <w:rPr>
          <w:sz w:val="28"/>
          <w:szCs w:val="28"/>
          <w:highlight w:val="white"/>
        </w:rPr>
        <w:t xml:space="preserve"> (КО), </w:t>
      </w:r>
      <w:r>
        <w:rPr>
          <w:sz w:val="28"/>
          <w:szCs w:val="28"/>
          <w:highlight w:val="white"/>
        </w:rPr>
        <w:t xml:space="preserve">Якусевич О.П.</w:t>
      </w:r>
      <w:r>
        <w:rPr>
          <w:sz w:val="28"/>
          <w:szCs w:val="28"/>
          <w:highlight w:val="white"/>
        </w:rPr>
        <w:t xml:space="preserve"> (МАУ «Северянка»), </w:t>
      </w:r>
      <w:r>
        <w:rPr>
          <w:sz w:val="28"/>
          <w:szCs w:val="28"/>
          <w:highlight w:val="white"/>
        </w:rPr>
        <w:t xml:space="preserve">Богданова Е</w:t>
      </w:r>
      <w:r>
        <w:rPr>
          <w:sz w:val="28"/>
          <w:szCs w:val="28"/>
          <w:highlight w:val="white"/>
        </w:rPr>
        <w:t xml:space="preserve">.А. (УСЗН), </w:t>
      </w:r>
      <w:r>
        <w:rPr>
          <w:sz w:val="28"/>
          <w:szCs w:val="28"/>
          <w:highlight w:val="white"/>
        </w:rPr>
        <w:t xml:space="preserve">Шулика А.Р.</w:t>
      </w:r>
      <w:r>
        <w:rPr>
          <w:sz w:val="28"/>
          <w:szCs w:val="28"/>
          <w:highlight w:val="white"/>
        </w:rPr>
        <w:t xml:space="preserve"> (КДН, ЗП), Васильев Е.М. (Роспотребнадзор), Никитин</w:t>
      </w:r>
      <w:r>
        <w:rPr>
          <w:sz w:val="28"/>
          <w:szCs w:val="28"/>
          <w:highlight w:val="white"/>
        </w:rPr>
        <w:t xml:space="preserve"> А.А.</w:t>
      </w:r>
      <w:r>
        <w:rPr>
          <w:sz w:val="28"/>
          <w:szCs w:val="28"/>
          <w:highlight w:val="white"/>
        </w:rPr>
        <w:t xml:space="preserve"> (ОНД),  Аксенова Т.Н. (КК), </w:t>
      </w:r>
      <w:r>
        <w:rPr>
          <w:sz w:val="28"/>
          <w:szCs w:val="28"/>
          <w:highlight w:val="white"/>
        </w:rPr>
        <w:t xml:space="preserve">Шулика А.Р. (КДН, ЗП).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67"/>
        <w:jc w:val="both"/>
        <w:tabs>
          <w:tab w:val="left" w:pos="720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ab/>
        <w:t xml:space="preserve">Повестка заседания: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67"/>
        <w:jc w:val="both"/>
        <w:tabs>
          <w:tab w:val="left" w:pos="720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Вступительное слово председателя МК Сокол Н.В.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6"/>
          <w:szCs w:val="26"/>
        </w:rPr>
      </w:pPr>
      <w:r>
        <w:rPr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 Церемония награждения лучших организаторо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детского отдыха по итогам 2025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Об итогах организац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ии оздоровительной кампании 2025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 территории Белоярского района.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Докладчик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:Кавецкая С.Р.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(сводная информация).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  <w:tab/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Об изменениях в региональных нормативных правовых актах и принятии новых нормативных правовых актов администрации Белоярского района в сфере организации детского отдыха.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вводе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 промышленную эксплуатацию подсистемы «Организация отдыха и оздоровления детей в каникулярное время в оздоровительных лагерях  Ханты-Мансийского автономного округа – Югры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Докладчик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 Кавецкая С.Р.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tabs>
          <w:tab w:val="left" w:pos="7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7"/>
        <w:jc w:val="both"/>
        <w:tabs>
          <w:tab w:val="left" w:pos="7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7"/>
        <w:jc w:val="both"/>
        <w:tabs>
          <w:tab w:val="left" w:pos="720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Докладчики: Вакуленко И.В. (КО), Кавецкая С.Р. (КДМ, ФК и С), Якусевич О.П. (МАУ «База спорта и отдыха «Северянка), Аксенова Т.Н. (КК), Сватков С.А. (УСЗН и ОП).</w:t>
      </w:r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оздоровительной кампании 2025 года организованными формами отдыха и оздоровления был охвачен 3251 ребенок в возрасте от 6 до 17 лет, что составляет 84 % от общей численности детей указанного возраста (2024 г. -  3342/ 85,5%).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2025 году на территории района работали 23 организации отдыха детей и их оздоровления: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- 15 лагерей с дневным пребыв</w:t>
      </w:r>
      <w:r>
        <w:rPr>
          <w:sz w:val="28"/>
          <w:szCs w:val="28"/>
        </w:rPr>
        <w:t xml:space="preserve">ан</w:t>
      </w:r>
      <w:r>
        <w:rPr>
          <w:sz w:val="28"/>
          <w:szCs w:val="28"/>
        </w:rPr>
        <w:t xml:space="preserve">ием детей с общим охватом 2454 ребенка (в том числе 11 – на базе образовательных учреждений / 2263 детей, 1 – на базе МАУ «Дворец спорта» / 50 детей, 1 – на базе БУСО КЦСОН / 116 детей, 1 – на базе МАУК ДШИ – 25 детей) (2024 год – 15 лагерей / 2498 детей);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- 3 лагеря с круглосуточным пребыванием детей с общим охватом 448 детей (2024 год - 2 / 463 ребенка): лагерь, организованный на базе МАУ «База спорта и отдыха «Севе</w:t>
      </w:r>
      <w:r>
        <w:rPr>
          <w:sz w:val="28"/>
          <w:szCs w:val="28"/>
        </w:rPr>
        <w:t xml:space="preserve">рянка», охват детей составил 398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детей</w:t>
      </w:r>
      <w:r>
        <w:rPr>
          <w:sz w:val="28"/>
          <w:szCs w:val="28"/>
        </w:rPr>
        <w:t xml:space="preserve"> (2024 год – 418 ребенка), лагерь, организованный НКО «Стойбище «Нумсанг ёх» (на базе МАУ «Северянка») с охватом 25 детей (2024 год – 45), </w:t>
      </w:r>
      <w:r>
        <w:rPr>
          <w:sz w:val="28"/>
          <w:szCs w:val="28"/>
        </w:rPr>
        <w:t xml:space="preserve">лагерь, организованный НКО</w:t>
      </w:r>
      <w:r>
        <w:rPr>
          <w:sz w:val="28"/>
          <w:szCs w:val="28"/>
        </w:rPr>
        <w:t xml:space="preserve"> «Конный клуб «Северный ветер» с охватом 25 детей;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- 1 лагерь труда и отдыха с дневным пребыванием на базе МКУ МЦ «Спутник» / 25 детей (2024 год – 1/25);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- 4 палаточных лагеря  с охватом детей 65 человек, в том числе палаточный лагерь, организованный </w:t>
      </w:r>
      <w:r>
        <w:rPr>
          <w:sz w:val="28"/>
          <w:szCs w:val="28"/>
        </w:rPr>
        <w:t xml:space="preserve"> Приходом храма преподобного Серафима Саровского</w:t>
      </w:r>
      <w:r>
        <w:rPr>
          <w:sz w:val="28"/>
          <w:szCs w:val="28"/>
        </w:rPr>
        <w:t xml:space="preserve">  (2024 год – 3 /60).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Всего на территории Белоярского района отдохну</w:t>
      </w:r>
      <w:r>
        <w:rPr>
          <w:sz w:val="28"/>
          <w:szCs w:val="28"/>
          <w:highlight w:val="white"/>
        </w:rPr>
        <w:t xml:space="preserve">ли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2992 </w:t>
      </w:r>
      <w:r>
        <w:rPr>
          <w:sz w:val="28"/>
          <w:szCs w:val="28"/>
          <w:highlight w:val="white"/>
        </w:rPr>
        <w:t xml:space="preserve">р</w:t>
      </w:r>
      <w:r>
        <w:rPr>
          <w:sz w:val="28"/>
          <w:szCs w:val="28"/>
          <w:highlight w:val="white"/>
        </w:rPr>
        <w:t xml:space="preserve">е</w:t>
      </w:r>
      <w:r>
        <w:rPr>
          <w:sz w:val="28"/>
          <w:szCs w:val="28"/>
          <w:highlight w:val="white"/>
        </w:rPr>
        <w:t xml:space="preserve">б</w:t>
      </w:r>
      <w:r>
        <w:rPr>
          <w:sz w:val="28"/>
          <w:szCs w:val="28"/>
          <w:highlight w:val="white"/>
        </w:rPr>
        <w:t xml:space="preserve">е</w:t>
      </w:r>
      <w:r>
        <w:rPr>
          <w:sz w:val="28"/>
          <w:szCs w:val="28"/>
          <w:highlight w:val="white"/>
        </w:rPr>
        <w:t xml:space="preserve">н</w:t>
      </w:r>
      <w:r>
        <w:rPr>
          <w:sz w:val="28"/>
          <w:szCs w:val="28"/>
          <w:highlight w:val="white"/>
        </w:rPr>
        <w:t xml:space="preserve">к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(2024 год – 3046 детей).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Отдых и оздоровление детей за пределами района осуществлялся в санаториях, лагерях и оздоровительных центрах, расположенных на Черноморс</w:t>
      </w:r>
      <w:r>
        <w:rPr>
          <w:sz w:val="28"/>
          <w:szCs w:val="28"/>
        </w:rPr>
        <w:t xml:space="preserve">ком побережье Республики Крым и Краснодарского края по путевкам, приобретенным уполномоченным органом, по путевкам ООО Газпром трансгаз Югорск и путевкам отраслевых Департаментов. Всего за пределами района отдохнули 259 детей (2024 г. / 296 детей), из них: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по путевкам, приобретенным уполномоченным органом – 36 детей в ДОЛ «Октябрь»  (2024 год – 38 </w:t>
      </w:r>
      <w:r>
        <w:rPr>
          <w:sz w:val="28"/>
          <w:szCs w:val="28"/>
        </w:rPr>
        <w:t xml:space="preserve">детей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7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ab/>
        <w:t xml:space="preserve">- по путевкам ООО Газпром трансгаз Югорск – 105 детей отдохнули в Краснодарском крае и Свердловской области (2024 год – 196 детей),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  <w:highlight w:val="none"/>
        </w:rPr>
        <w:tab/>
        <w:t xml:space="preserve">- по путевкам для детей</w:t>
      </w:r>
      <w:r>
        <w:rPr>
          <w:rFonts w:ascii="Roboto" w:hAnsi="Roboto" w:eastAsia="Roboto" w:cs="Roboto"/>
          <w:color w:val="212529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highlight w:val="white"/>
        </w:rPr>
        <w:t xml:space="preserve">проживающих на территории Арктической зоны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highlight w:val="white"/>
        </w:rPr>
        <w:t xml:space="preserve">ь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highlight w:val="white"/>
        </w:rPr>
        <w:t xml:space="preserve">ь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highlight w:val="white"/>
        </w:rPr>
        <w:t xml:space="preserve">отдохнули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highlight w:val="white"/>
        </w:rPr>
        <w:t xml:space="preserve">0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highlight w:val="white"/>
        </w:rPr>
        <w:t xml:space="preserve">й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highlight w:val="white"/>
        </w:rPr>
        <w:t xml:space="preserve">0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highlight w:val="white"/>
        </w:rPr>
        <w:t xml:space="preserve">-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highlight w:val="white"/>
        </w:rPr>
        <w:t xml:space="preserve">0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по путевкам отраслевых Департаментов в 2026 году отдохнули – 5</w:t>
      </w:r>
      <w:r>
        <w:rPr>
          <w:sz w:val="28"/>
          <w:szCs w:val="28"/>
          <w:highlight w:val="white"/>
        </w:rPr>
        <w:t xml:space="preserve">8</w:t>
      </w:r>
      <w:r>
        <w:rPr>
          <w:sz w:val="28"/>
          <w:szCs w:val="28"/>
          <w:highlight w:val="white"/>
        </w:rPr>
        <w:t xml:space="preserve"> д</w:t>
      </w:r>
      <w:r>
        <w:rPr>
          <w:sz w:val="28"/>
          <w:szCs w:val="28"/>
          <w:highlight w:val="white"/>
        </w:rPr>
        <w:t xml:space="preserve">ет</w:t>
      </w:r>
      <w:r>
        <w:rPr>
          <w:sz w:val="28"/>
          <w:szCs w:val="28"/>
        </w:rPr>
        <w:t xml:space="preserve">ей (2024 – 66 детей).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2026 году были трудоустроены и работали в составе молодежных трудовых отрядов 645 подростков в возрасте от 14 до 18 лет (2024 г.- 630).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2025 году для участия в окружном конкурсе «Лучшая организация отдыха детей и их оздоровления Ханты-Мансийского автономного округа – Югры» от Белоярского района были направлены 4 заявки.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 итогам конкурса: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МАУ «База спорта и отдыха «Северянка»</w:t>
      </w:r>
      <w:r>
        <w:rPr>
          <w:sz w:val="28"/>
          <w:szCs w:val="28"/>
        </w:rPr>
        <w:t xml:space="preserve"> заняла 1 место в номинации «Лучший загородный оздоровительный лагерь», размер денежного поощрения составил 200 000 тысяч рублей;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МБУ «Многофункциональный молодежный центр «Спутник» занял 1 место в номинации «Лучший лагерь труда и отдыха», размер денежного поощрения составил 110 000 тысяч рублей.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Заслушав и обсудив выступления докладчиков, было принято следующее решение: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Принять к сведению информацию докладчиков.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eastAsia="Calibri"/>
          <w:sz w:val="28"/>
          <w:szCs w:val="28"/>
          <w:lang w:eastAsia="en-US"/>
        </w:rPr>
        <w:t xml:space="preserve">2. Наградить грамотами комиссии по итогам 2025 года лучших организаторов в сфере отдыха, оздоровления, занятости детей, подростков и молодежи Белоярского района согласно списку (приложение 1).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67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3. Утвердить план работы МК ОООЗД на 2026 год (приложение 2).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67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4. Утвердить медиаплан по информированию населения о порядке и видах детского отдыха в Белоярском районе и за его пределами, иных формах занятости несовершеннолетних на 2026 год (приложение 3).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67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5. КО (Вакуленко И.В.), КДМ, ФК и С (Майборода А.В), МАУ «База спорта и отдыха «Северянка» (Якусевич О.П.), КК (Аксенова Т.Н.), УСЗН, О и П (Сватков С.А.):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67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1) Во исполнение распоряжения Правительства Ханты-Мансийского автономного округа – Югры от 03 ноября 201</w:t>
      </w:r>
      <w:r>
        <w:rPr>
          <w:rFonts w:eastAsia="Calibri"/>
          <w:sz w:val="28"/>
          <w:szCs w:val="28"/>
          <w:lang w:eastAsia="en-US"/>
        </w:rPr>
        <w:t xml:space="preserve">1 года  № 624-рп «О типовой форме паспорта организаций отдыха и оздоровления детей и подростков, действующих в Ханты-Мансийском автономном округе – Югре», приказа Депобразования от 19 февраля 2020 года № 4-нп «Об утверждении порядка формирования и ведения </w:t>
      </w:r>
      <w:r>
        <w:rPr>
          <w:rFonts w:eastAsia="Calibri"/>
          <w:sz w:val="28"/>
          <w:szCs w:val="28"/>
          <w:lang w:eastAsia="en-US"/>
        </w:rPr>
        <w:t xml:space="preserve">реестра организаций отдыха детей и их оздоровления Ханты-Мансийского автономного округа – Югры», в срок до 31 января 2025 года обеспечить формирование и направление в межведомственную комиссию подведомственными организациями отдыха детей и их оздоровления: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67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для</w:t>
      </w:r>
      <w:r>
        <w:rPr>
          <w:rFonts w:eastAsia="Calibri"/>
          <w:sz w:val="28"/>
          <w:szCs w:val="28"/>
          <w:lang w:eastAsia="en-US"/>
        </w:rPr>
        <w:t xml:space="preserve"> новых организаций, не рабо</w:t>
      </w:r>
      <w:r>
        <w:rPr>
          <w:rFonts w:eastAsia="Calibri"/>
          <w:sz w:val="28"/>
          <w:szCs w:val="28"/>
          <w:lang w:eastAsia="en-US"/>
        </w:rPr>
        <w:t xml:space="preserve">тавших ранее - заявлений о включении в реестр и форм реестра организаций отдыха детей и их оздоровления Ханты-Мансийского автономного округа – Югры» с приложением всех необходимых документов в электронном виде (приложения 4, 5);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67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изменения в части сроков проведения смен, актуализации данных о руководителях, контактных данных, адресов электронной почты, сайтов организации, а также иных изменений (при наличии);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67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заполненные паспорта организаций отдыха детей и их оздоровления, которые будут действовать на территории Бел</w:t>
      </w:r>
      <w:r>
        <w:rPr>
          <w:rFonts w:eastAsia="Calibri"/>
          <w:sz w:val="28"/>
          <w:szCs w:val="28"/>
          <w:lang w:eastAsia="en-US"/>
        </w:rPr>
        <w:t xml:space="preserve">оярского района в 2026 году (в электронном виде в формате PDF с подписью руководителя и печатью и в формате Worde); сведения в паспортах указываются по состоянию на январь 2026 года! (т.е. «данные за предыдущий год» - это данные 2025 года!) (приложение 6).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67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2) Обеспечить исполнение руководителями подведомственных учреждений, на базе которых в 2026 году планируется организация работы лагерей различного типа исполнение: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67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Порядка информирования Межведомственной комиссии по организации отдыха, оздоровления, занятости детей Белоярского района о чрезвычайных ситуациях в организациях отдыха детей и их оздоровления (приложение 7),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67"/>
        <w:ind w:firstLine="708"/>
        <w:jc w:val="both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lang w:eastAsia="en-US"/>
        </w:rPr>
        <w:t xml:space="preserve">- алгоритма организации медицинской помощи и маршрутизации детей, отдыхающих в лагерях различного типа, при п</w:t>
      </w:r>
      <w:r>
        <w:rPr>
          <w:rFonts w:eastAsia="Calibri"/>
          <w:sz w:val="28"/>
          <w:szCs w:val="28"/>
          <w:lang w:eastAsia="en-US"/>
        </w:rPr>
        <w:t xml:space="preserve">одозрении/установлении инфекционного заболевания, в том числе в случае подозрения на наличие новой коронавирусной инфекции COVID-19, в случае осложнения эпидемиологической ситуации при проведении оздоровительной кампании в Белоярском районе (приложение 8).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none"/>
          <w:lang w:eastAsia="en-US"/>
        </w:rPr>
        <w:t xml:space="preserve">3) </w:t>
      </w:r>
      <w:r>
        <w:rPr>
          <w:rFonts w:eastAsia="Calibri"/>
          <w:sz w:val="28"/>
          <w:szCs w:val="28"/>
          <w:highlight w:val="none"/>
          <w:lang w:eastAsia="en-US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соответствии с межведомственным приказом Департамента образования и науки Ханты-Мансийского автономного округа – Югры, Департамента информационных технологий и цифрового развития Ханты-Мансийского автономного округа – Югры от 5 августа 2025 года № 10-П-1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491/08-пр-108 «О вводе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 промышленную эксплуатацию подсистемы «Организация отдыха и оздоровления детей в каникулярное время в оздоровительных лагерях Ханты-Мансийского автономного округа – Югры» государственной информационной системы «Цифровая образователь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ная платформа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Ханты-Мансийского автономного округа – Югры (ГИС Образование Югры)»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ответственных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 пользователя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Администратор лагеря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» </w:t>
      </w:r>
      <w:r>
        <w:rPr>
          <w:rFonts w:eastAsia="Calibri"/>
          <w:sz w:val="28"/>
          <w:szCs w:val="28"/>
          <w:lang w:eastAsia="en-US"/>
        </w:rPr>
        <w:t xml:space="preserve">(приложение 9)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en-US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707"/>
        <w:numPr>
          <w:ilvl w:val="0"/>
          <w:numId w:val="18"/>
        </w:numPr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en-US"/>
        </w:rPr>
        <w:t xml:space="preserve">доведение до сведения родителей (законных представителей детей) (размещение на официальных сайта учреждений, группах в социальных сетях и мессенджере МАХ) Руководства пользователя «Родитель»)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(приложение 10).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en-US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  <w:t xml:space="preserve">6. В целях качественного представления в окружную межведомственную комиссию отчетности об организации отдыха и оздоровления детей в 2026 году в срок до 31 января 2026 года сформировать и представить в межведомственную комиссию информацию о: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  <w:t xml:space="preserve">1) КО (Вакуленко И.В.):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  <w:t xml:space="preserve">- </w:t>
      </w:r>
      <w:r>
        <w:rPr>
          <w:rFonts w:eastAsia="Calibri"/>
          <w:sz w:val="28"/>
          <w:szCs w:val="28"/>
          <w:lang w:eastAsia="en-US"/>
        </w:rPr>
        <w:t xml:space="preserve">количестве дете</w:t>
      </w:r>
      <w:r>
        <w:rPr>
          <w:rFonts w:eastAsia="Calibri"/>
          <w:sz w:val="28"/>
          <w:szCs w:val="28"/>
          <w:lang w:eastAsia="en-US"/>
        </w:rPr>
        <w:t xml:space="preserve">й от 6 до 17 лет (включительно) (с учетом прогнозной информации о численности детей Белоярского района на 2026 год);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  <w:t xml:space="preserve">- количестве детей из числа коренных малочисленных народов Севера в возрасте от 6 до 17 лет (включительно);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  <w:t xml:space="preserve">- количество детей с ограниченными возможностями здоровья (имеющих недостатки в физическом и (или) психическом развитии);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  <w:t xml:space="preserve">2) УСЗН, О и П (Сватков С.А.) количестве детей, нуждающихся в особой заботе государства в возрасте от 6 до 17 лет (включительно) (по возможности исключив повторение одного и того же ребенка в разных категориях) по следующим категориям: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  <w:t xml:space="preserve">- дети - инвалиды;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  <w:t xml:space="preserve">- дети - жертвы вооруженных и межнациональных конфликтов, экологических и техногенных катастроф, стихийных бедствий;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  <w:t xml:space="preserve">- дети из семей беженцев и вынужденных переселенцев;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  <w:t xml:space="preserve">- дети, оказавшихся в экстремальных условиях;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  <w:t xml:space="preserve">- дети, проживающих в малоимущих семьях;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  <w:t xml:space="preserve">- дети из многодетных семей;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  <w:t xml:space="preserve">- дети из семей, потерявших кормильца;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  <w:t xml:space="preserve">- количество детей сирот от 6 до 17 лет (включительно);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  <w:t xml:space="preserve">- количество детей, оставшихся без попечения родителей от 6 до 17 лет (включительно);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  <w:t xml:space="preserve">4) КДН, ЗП (Шулика А.Р.):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  <w:t xml:space="preserve">- количестве детей, состоящих на учете в КДН, ЗП от 6 до 17 лет (включительно);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  <w:t xml:space="preserve">-  количестве детей, состоящих на учете в ОДН ОМВД по Белоярскому району от 6 до 17 лет (включительно);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  <w:t xml:space="preserve">- количестве детей - жертв насилия (при наличии) от 6 до 17 лет (включительно);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  <w:t xml:space="preserve">- количестве детей с отклонениями в поведении (при наличии) от 6 до 17 лет (включительно);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  <w:t xml:space="preserve">- количестве детей, отбывающих наказание в виде лишения свободы в воспитательных колониях (при наличии) от 6 до 17 лет (включительно);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67"/>
        <w:jc w:val="both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lang w:eastAsia="en-US"/>
        </w:rPr>
        <w:tab/>
        <w:t xml:space="preserve">- количестве детей, находящихся в образовательных организациях для обучающихся с девиантн</w:t>
      </w:r>
      <w:r>
        <w:rPr>
          <w:rFonts w:eastAsia="Calibri"/>
          <w:sz w:val="28"/>
          <w:szCs w:val="28"/>
          <w:lang w:eastAsia="en-US"/>
        </w:rPr>
        <w:t xml:space="preserve">ым (общественно опасным) поведением, нуждающихся в особых условиях воспитания, обучения и требующих специального педагогического подхода (специальных учебно-воспитательных учреждениях открытого и закрытого типа) (при наличии) от 6 до 17 лет (включительно).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pStyle w:val="867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361"/>
        <w:gridCol w:w="3544"/>
        <w:gridCol w:w="166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61" w:type="dxa"/>
            <w:vAlign w:val="top"/>
            <w:textDirection w:val="lrTb"/>
            <w:noWrap w:val="false"/>
          </w:tcPr>
          <w:p>
            <w:pPr>
              <w:pStyle w:val="867"/>
              <w:jc w:val="both"/>
              <w:tabs>
                <w:tab w:val="left" w:pos="312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867"/>
              <w:jc w:val="both"/>
              <w:tabs>
                <w:tab w:val="left" w:pos="3120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Заместитель главы Белоярского района по социальным вопросам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pStyle w:val="867"/>
              <w:jc w:val="both"/>
              <w:tabs>
                <w:tab w:val="left" w:pos="3120" w:leader="none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867"/>
              <w:jc w:val="both"/>
              <w:tabs>
                <w:tab w:val="left" w:pos="3120" w:leader="none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fldChar w:fldCharType="begin"/>
            </w:r>
            <w:r>
              <w:rPr>
                <w:rFonts w:eastAsia="Calibri"/>
                <w:b/>
              </w:rPr>
              <w:instrText xml:space="preserve"> SHAPE  \* MERGEFORMAT </w:instrText>
            </w:r>
            <w:r>
              <w:rPr>
                <w:rFonts w:eastAsia="Calibri"/>
                <w:b/>
              </w:rPr>
              <w:fldChar w:fldCharType="separate"/>
            </w:r>
            <w:r>
              <w:rPr>
                <w:rFonts w:eastAsia="Calibri"/>
                <w:b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38910" cy="817245"/>
                      <wp:effectExtent l="0" t="0" r="0" b="0"/>
                      <wp:docPr id="1" name="_x0000_s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38910" cy="8172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13.30pt;height:64.35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eastAsia="Calibri"/>
                <w:b/>
              </w:rPr>
              <w:fldChar w:fldCharType="end"/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666" w:type="dxa"/>
            <w:vAlign w:val="top"/>
            <w:textDirection w:val="lrTb"/>
            <w:noWrap w:val="false"/>
          </w:tcPr>
          <w:p>
            <w:pPr>
              <w:pStyle w:val="867"/>
              <w:jc w:val="both"/>
              <w:tabs>
                <w:tab w:val="left" w:pos="3120" w:leader="none"/>
              </w:tabs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</w:r>
            <w:r>
              <w:rPr>
                <w:rFonts w:eastAsia="Calibri"/>
                <w:b/>
                <w:sz w:val="26"/>
                <w:szCs w:val="26"/>
              </w:rPr>
            </w:r>
            <w:r>
              <w:rPr>
                <w:rFonts w:eastAsia="Calibri"/>
                <w:b/>
                <w:sz w:val="26"/>
                <w:szCs w:val="26"/>
              </w:rPr>
            </w:r>
          </w:p>
          <w:p>
            <w:pPr>
              <w:pStyle w:val="867"/>
              <w:jc w:val="both"/>
              <w:tabs>
                <w:tab w:val="left" w:pos="3120" w:leader="none"/>
              </w:tabs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  <w:p>
            <w:pPr>
              <w:pStyle w:val="867"/>
              <w:jc w:val="both"/>
              <w:tabs>
                <w:tab w:val="left" w:pos="3120" w:leader="none"/>
              </w:tabs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8"/>
                <w:szCs w:val="28"/>
              </w:rPr>
              <w:t xml:space="preserve">Н.В. Сокол</w:t>
            </w: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</w:tr>
    </w:tbl>
    <w:p>
      <w:r/>
      <w:r/>
    </w:p>
    <w:sectPr>
      <w:footnotePr/>
      <w:endnotePr/>
      <w:type w:val="nextPage"/>
      <w:pgSz w:w="11907" w:h="16840" w:orient="portrait"/>
      <w:pgMar w:top="1134" w:right="850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Verdan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158" w:hanging="360"/>
        <w:tabs>
          <w:tab w:val="num" w:pos="115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78" w:hanging="360"/>
        <w:tabs>
          <w:tab w:val="num" w:pos="187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98" w:hanging="180"/>
        <w:tabs>
          <w:tab w:val="num" w:pos="259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318" w:hanging="360"/>
        <w:tabs>
          <w:tab w:val="num" w:pos="331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038" w:hanging="360"/>
        <w:tabs>
          <w:tab w:val="num" w:pos="403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58" w:hanging="180"/>
        <w:tabs>
          <w:tab w:val="num" w:pos="475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78" w:hanging="360"/>
        <w:tabs>
          <w:tab w:val="num" w:pos="547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98" w:hanging="360"/>
        <w:tabs>
          <w:tab w:val="num" w:pos="619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918" w:hanging="180"/>
        <w:tabs>
          <w:tab w:val="num" w:pos="6918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16" w:hanging="360"/>
        <w:tabs>
          <w:tab w:val="num" w:pos="816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536" w:hanging="360"/>
        <w:tabs>
          <w:tab w:val="num" w:pos="1536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256" w:hanging="180"/>
        <w:tabs>
          <w:tab w:val="num" w:pos="2256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976" w:hanging="360"/>
        <w:tabs>
          <w:tab w:val="num" w:pos="2976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96" w:hanging="360"/>
        <w:tabs>
          <w:tab w:val="num" w:pos="3696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416" w:hanging="180"/>
        <w:tabs>
          <w:tab w:val="num" w:pos="4416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136" w:hanging="360"/>
        <w:tabs>
          <w:tab w:val="num" w:pos="5136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856" w:hanging="360"/>
        <w:tabs>
          <w:tab w:val="num" w:pos="5856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576" w:hanging="180"/>
        <w:tabs>
          <w:tab w:val="num" w:pos="6576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12">
    <w:multiLevelType w:val="hybridMultilevel"/>
    <w:lvl w:ilvl="0">
      <w:start w:val="4"/>
      <w:numFmt w:val="decimal"/>
      <w:isLgl w:val="false"/>
      <w:suff w:val="tab"/>
      <w:lvlText w:val="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9"/>
  </w:num>
  <w:num w:numId="2">
    <w:abstractNumId w:val="10"/>
  </w:num>
  <w:num w:numId="3">
    <w:abstractNumId w:val="13"/>
  </w:num>
  <w:num w:numId="4">
    <w:abstractNumId w:val="7"/>
  </w:num>
  <w:num w:numId="5">
    <w:abstractNumId w:val="8"/>
  </w:num>
  <w:num w:numId="6">
    <w:abstractNumId w:val="11"/>
  </w:num>
  <w:num w:numId="7">
    <w:abstractNumId w:val="5"/>
  </w:num>
  <w:num w:numId="8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9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10">
    <w:abstractNumId w:val="12"/>
  </w:num>
  <w:num w:numId="11">
    <w:abstractNumId w:val="3"/>
  </w:num>
  <w:num w:numId="12">
    <w:abstractNumId w:val="6"/>
  </w:num>
  <w:num w:numId="13">
    <w:abstractNumId w:val="4"/>
  </w:num>
  <w:num w:numId="14">
    <w:abstractNumId w:val="2"/>
  </w:num>
  <w:num w:numId="15">
    <w:abstractNumId w:val="1"/>
  </w:num>
  <w:num w:numId="16">
    <w:abstractNumId w:val="14"/>
  </w:num>
  <w:num w:numId="17">
    <w:abstractNumId w:val="1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9">
    <w:name w:val="Heading 1"/>
    <w:basedOn w:val="867"/>
    <w:next w:val="867"/>
    <w:link w:val="69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0">
    <w:name w:val="Heading 1 Char"/>
    <w:link w:val="689"/>
    <w:uiPriority w:val="9"/>
    <w:rPr>
      <w:rFonts w:ascii="Arial" w:hAnsi="Arial" w:eastAsia="Arial" w:cs="Arial"/>
      <w:sz w:val="40"/>
      <w:szCs w:val="40"/>
    </w:rPr>
  </w:style>
  <w:style w:type="paragraph" w:styleId="691">
    <w:name w:val="Heading 2"/>
    <w:basedOn w:val="867"/>
    <w:next w:val="867"/>
    <w:link w:val="69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2">
    <w:name w:val="Heading 2 Char"/>
    <w:link w:val="691"/>
    <w:uiPriority w:val="9"/>
    <w:rPr>
      <w:rFonts w:ascii="Arial" w:hAnsi="Arial" w:eastAsia="Arial" w:cs="Arial"/>
      <w:sz w:val="34"/>
    </w:rPr>
  </w:style>
  <w:style w:type="paragraph" w:styleId="693">
    <w:name w:val="Heading 3"/>
    <w:basedOn w:val="867"/>
    <w:next w:val="867"/>
    <w:link w:val="69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4">
    <w:name w:val="Heading 3 Char"/>
    <w:link w:val="693"/>
    <w:uiPriority w:val="9"/>
    <w:rPr>
      <w:rFonts w:ascii="Arial" w:hAnsi="Arial" w:eastAsia="Arial" w:cs="Arial"/>
      <w:sz w:val="30"/>
      <w:szCs w:val="30"/>
    </w:rPr>
  </w:style>
  <w:style w:type="paragraph" w:styleId="695">
    <w:name w:val="Heading 4"/>
    <w:basedOn w:val="867"/>
    <w:next w:val="867"/>
    <w:link w:val="69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6">
    <w:name w:val="Heading 4 Char"/>
    <w:link w:val="695"/>
    <w:uiPriority w:val="9"/>
    <w:rPr>
      <w:rFonts w:ascii="Arial" w:hAnsi="Arial" w:eastAsia="Arial" w:cs="Arial"/>
      <w:b/>
      <w:bCs/>
      <w:sz w:val="26"/>
      <w:szCs w:val="26"/>
    </w:rPr>
  </w:style>
  <w:style w:type="paragraph" w:styleId="697">
    <w:name w:val="Heading 5"/>
    <w:basedOn w:val="867"/>
    <w:next w:val="867"/>
    <w:link w:val="69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8">
    <w:name w:val="Heading 5 Char"/>
    <w:link w:val="697"/>
    <w:uiPriority w:val="9"/>
    <w:rPr>
      <w:rFonts w:ascii="Arial" w:hAnsi="Arial" w:eastAsia="Arial" w:cs="Arial"/>
      <w:b/>
      <w:bCs/>
      <w:sz w:val="24"/>
      <w:szCs w:val="24"/>
    </w:rPr>
  </w:style>
  <w:style w:type="paragraph" w:styleId="699">
    <w:name w:val="Heading 6"/>
    <w:basedOn w:val="867"/>
    <w:next w:val="867"/>
    <w:link w:val="70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0">
    <w:name w:val="Heading 6 Char"/>
    <w:link w:val="699"/>
    <w:uiPriority w:val="9"/>
    <w:rPr>
      <w:rFonts w:ascii="Arial" w:hAnsi="Arial" w:eastAsia="Arial" w:cs="Arial"/>
      <w:b/>
      <w:bCs/>
      <w:sz w:val="22"/>
      <w:szCs w:val="22"/>
    </w:rPr>
  </w:style>
  <w:style w:type="paragraph" w:styleId="701">
    <w:name w:val="Heading 7"/>
    <w:basedOn w:val="867"/>
    <w:next w:val="867"/>
    <w:link w:val="70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2">
    <w:name w:val="Heading 7 Char"/>
    <w:link w:val="7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3">
    <w:name w:val="Heading 8"/>
    <w:basedOn w:val="867"/>
    <w:next w:val="867"/>
    <w:link w:val="70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4">
    <w:name w:val="Heading 8 Char"/>
    <w:link w:val="703"/>
    <w:uiPriority w:val="9"/>
    <w:rPr>
      <w:rFonts w:ascii="Arial" w:hAnsi="Arial" w:eastAsia="Arial" w:cs="Arial"/>
      <w:i/>
      <w:iCs/>
      <w:sz w:val="22"/>
      <w:szCs w:val="22"/>
    </w:rPr>
  </w:style>
  <w:style w:type="paragraph" w:styleId="705">
    <w:name w:val="Heading 9"/>
    <w:basedOn w:val="867"/>
    <w:next w:val="867"/>
    <w:link w:val="70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6">
    <w:name w:val="Heading 9 Char"/>
    <w:link w:val="705"/>
    <w:uiPriority w:val="9"/>
    <w:rPr>
      <w:rFonts w:ascii="Arial" w:hAnsi="Arial" w:eastAsia="Arial" w:cs="Arial"/>
      <w:i/>
      <w:iCs/>
      <w:sz w:val="21"/>
      <w:szCs w:val="21"/>
    </w:rPr>
  </w:style>
  <w:style w:type="paragraph" w:styleId="707">
    <w:name w:val="List Paragraph"/>
    <w:basedOn w:val="867"/>
    <w:uiPriority w:val="34"/>
    <w:qFormat/>
    <w:pPr>
      <w:contextualSpacing/>
      <w:ind w:left="720"/>
    </w:pPr>
  </w:style>
  <w:style w:type="paragraph" w:styleId="708">
    <w:name w:val="No Spacing"/>
    <w:uiPriority w:val="1"/>
    <w:qFormat/>
    <w:pPr>
      <w:spacing w:before="0" w:after="0" w:line="240" w:lineRule="auto"/>
    </w:pPr>
  </w:style>
  <w:style w:type="paragraph" w:styleId="709">
    <w:name w:val="Title"/>
    <w:basedOn w:val="867"/>
    <w:next w:val="867"/>
    <w:link w:val="71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0">
    <w:name w:val="Title Char"/>
    <w:link w:val="709"/>
    <w:uiPriority w:val="10"/>
    <w:rPr>
      <w:sz w:val="48"/>
      <w:szCs w:val="48"/>
    </w:rPr>
  </w:style>
  <w:style w:type="paragraph" w:styleId="711">
    <w:name w:val="Subtitle"/>
    <w:basedOn w:val="867"/>
    <w:next w:val="867"/>
    <w:link w:val="712"/>
    <w:uiPriority w:val="11"/>
    <w:qFormat/>
    <w:pPr>
      <w:spacing w:before="200" w:after="200"/>
    </w:pPr>
    <w:rPr>
      <w:sz w:val="24"/>
      <w:szCs w:val="24"/>
    </w:rPr>
  </w:style>
  <w:style w:type="character" w:styleId="712">
    <w:name w:val="Subtitle Char"/>
    <w:link w:val="711"/>
    <w:uiPriority w:val="11"/>
    <w:rPr>
      <w:sz w:val="24"/>
      <w:szCs w:val="24"/>
    </w:rPr>
  </w:style>
  <w:style w:type="paragraph" w:styleId="713">
    <w:name w:val="Quote"/>
    <w:basedOn w:val="867"/>
    <w:next w:val="867"/>
    <w:link w:val="714"/>
    <w:uiPriority w:val="29"/>
    <w:qFormat/>
    <w:pPr>
      <w:ind w:left="720" w:right="720"/>
    </w:pPr>
    <w:rPr>
      <w:i/>
    </w:rPr>
  </w:style>
  <w:style w:type="character" w:styleId="714">
    <w:name w:val="Quote Char"/>
    <w:link w:val="713"/>
    <w:uiPriority w:val="29"/>
    <w:rPr>
      <w:i/>
    </w:rPr>
  </w:style>
  <w:style w:type="paragraph" w:styleId="715">
    <w:name w:val="Intense Quote"/>
    <w:basedOn w:val="867"/>
    <w:next w:val="867"/>
    <w:link w:val="71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6">
    <w:name w:val="Intense Quote Char"/>
    <w:link w:val="715"/>
    <w:uiPriority w:val="30"/>
    <w:rPr>
      <w:i/>
    </w:rPr>
  </w:style>
  <w:style w:type="paragraph" w:styleId="717">
    <w:name w:val="Header"/>
    <w:basedOn w:val="867"/>
    <w:link w:val="71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8">
    <w:name w:val="Header Char"/>
    <w:link w:val="717"/>
    <w:uiPriority w:val="99"/>
  </w:style>
  <w:style w:type="paragraph" w:styleId="719">
    <w:name w:val="Footer"/>
    <w:basedOn w:val="867"/>
    <w:link w:val="72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0">
    <w:name w:val="Footer Char"/>
    <w:link w:val="719"/>
    <w:uiPriority w:val="99"/>
  </w:style>
  <w:style w:type="paragraph" w:styleId="721">
    <w:name w:val="Caption"/>
    <w:basedOn w:val="867"/>
    <w:next w:val="867"/>
    <w:link w:val="72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2">
    <w:name w:val="Caption Char"/>
    <w:link w:val="721"/>
    <w:uiPriority w:val="35"/>
    <w:rPr>
      <w:b/>
      <w:bCs/>
      <w:color w:val="4f81bd" w:themeColor="accent1"/>
      <w:sz w:val="18"/>
      <w:szCs w:val="18"/>
    </w:rPr>
  </w:style>
  <w:style w:type="table" w:styleId="72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9">
    <w:name w:val="Hyperlink"/>
    <w:uiPriority w:val="99"/>
    <w:unhideWhenUsed/>
    <w:rPr>
      <w:color w:val="0000ff" w:themeColor="hyperlink"/>
      <w:u w:val="single"/>
    </w:rPr>
  </w:style>
  <w:style w:type="paragraph" w:styleId="850">
    <w:name w:val="footnote text"/>
    <w:basedOn w:val="867"/>
    <w:link w:val="851"/>
    <w:uiPriority w:val="99"/>
    <w:semiHidden/>
    <w:unhideWhenUsed/>
    <w:pPr>
      <w:spacing w:after="40" w:line="240" w:lineRule="auto"/>
    </w:pPr>
    <w:rPr>
      <w:sz w:val="18"/>
    </w:rPr>
  </w:style>
  <w:style w:type="character" w:styleId="851">
    <w:name w:val="Footnote Text Char"/>
    <w:link w:val="850"/>
    <w:uiPriority w:val="99"/>
    <w:rPr>
      <w:sz w:val="18"/>
    </w:rPr>
  </w:style>
  <w:style w:type="character" w:styleId="852">
    <w:name w:val="footnote reference"/>
    <w:uiPriority w:val="99"/>
    <w:unhideWhenUsed/>
    <w:rPr>
      <w:vertAlign w:val="superscript"/>
    </w:rPr>
  </w:style>
  <w:style w:type="paragraph" w:styleId="853">
    <w:name w:val="endnote text"/>
    <w:basedOn w:val="867"/>
    <w:link w:val="854"/>
    <w:uiPriority w:val="99"/>
    <w:semiHidden/>
    <w:unhideWhenUsed/>
    <w:pPr>
      <w:spacing w:after="0" w:line="240" w:lineRule="auto"/>
    </w:pPr>
    <w:rPr>
      <w:sz w:val="20"/>
    </w:rPr>
  </w:style>
  <w:style w:type="character" w:styleId="854">
    <w:name w:val="Endnote Text Char"/>
    <w:link w:val="853"/>
    <w:uiPriority w:val="99"/>
    <w:rPr>
      <w:sz w:val="20"/>
    </w:rPr>
  </w:style>
  <w:style w:type="character" w:styleId="855">
    <w:name w:val="endnote reference"/>
    <w:uiPriority w:val="99"/>
    <w:semiHidden/>
    <w:unhideWhenUsed/>
    <w:rPr>
      <w:vertAlign w:val="superscript"/>
    </w:rPr>
  </w:style>
  <w:style w:type="paragraph" w:styleId="856">
    <w:name w:val="toc 1"/>
    <w:basedOn w:val="867"/>
    <w:next w:val="867"/>
    <w:uiPriority w:val="39"/>
    <w:unhideWhenUsed/>
    <w:pPr>
      <w:ind w:left="0" w:right="0" w:firstLine="0"/>
      <w:spacing w:after="57"/>
    </w:pPr>
  </w:style>
  <w:style w:type="paragraph" w:styleId="857">
    <w:name w:val="toc 2"/>
    <w:basedOn w:val="867"/>
    <w:next w:val="867"/>
    <w:uiPriority w:val="39"/>
    <w:unhideWhenUsed/>
    <w:pPr>
      <w:ind w:left="283" w:right="0" w:firstLine="0"/>
      <w:spacing w:after="57"/>
    </w:pPr>
  </w:style>
  <w:style w:type="paragraph" w:styleId="858">
    <w:name w:val="toc 3"/>
    <w:basedOn w:val="867"/>
    <w:next w:val="867"/>
    <w:uiPriority w:val="39"/>
    <w:unhideWhenUsed/>
    <w:pPr>
      <w:ind w:left="567" w:right="0" w:firstLine="0"/>
      <w:spacing w:after="57"/>
    </w:pPr>
  </w:style>
  <w:style w:type="paragraph" w:styleId="859">
    <w:name w:val="toc 4"/>
    <w:basedOn w:val="867"/>
    <w:next w:val="867"/>
    <w:uiPriority w:val="39"/>
    <w:unhideWhenUsed/>
    <w:pPr>
      <w:ind w:left="850" w:right="0" w:firstLine="0"/>
      <w:spacing w:after="57"/>
    </w:pPr>
  </w:style>
  <w:style w:type="paragraph" w:styleId="860">
    <w:name w:val="toc 5"/>
    <w:basedOn w:val="867"/>
    <w:next w:val="867"/>
    <w:uiPriority w:val="39"/>
    <w:unhideWhenUsed/>
    <w:pPr>
      <w:ind w:left="1134" w:right="0" w:firstLine="0"/>
      <w:spacing w:after="57"/>
    </w:pPr>
  </w:style>
  <w:style w:type="paragraph" w:styleId="861">
    <w:name w:val="toc 6"/>
    <w:basedOn w:val="867"/>
    <w:next w:val="867"/>
    <w:uiPriority w:val="39"/>
    <w:unhideWhenUsed/>
    <w:pPr>
      <w:ind w:left="1417" w:right="0" w:firstLine="0"/>
      <w:spacing w:after="57"/>
    </w:pPr>
  </w:style>
  <w:style w:type="paragraph" w:styleId="862">
    <w:name w:val="toc 7"/>
    <w:basedOn w:val="867"/>
    <w:next w:val="867"/>
    <w:uiPriority w:val="39"/>
    <w:unhideWhenUsed/>
    <w:pPr>
      <w:ind w:left="1701" w:right="0" w:firstLine="0"/>
      <w:spacing w:after="57"/>
    </w:pPr>
  </w:style>
  <w:style w:type="paragraph" w:styleId="863">
    <w:name w:val="toc 8"/>
    <w:basedOn w:val="867"/>
    <w:next w:val="867"/>
    <w:uiPriority w:val="39"/>
    <w:unhideWhenUsed/>
    <w:pPr>
      <w:ind w:left="1984" w:right="0" w:firstLine="0"/>
      <w:spacing w:after="57"/>
    </w:pPr>
  </w:style>
  <w:style w:type="paragraph" w:styleId="864">
    <w:name w:val="toc 9"/>
    <w:basedOn w:val="867"/>
    <w:next w:val="867"/>
    <w:uiPriority w:val="39"/>
    <w:unhideWhenUsed/>
    <w:pPr>
      <w:ind w:left="2268" w:right="0" w:firstLine="0"/>
      <w:spacing w:after="57"/>
    </w:pPr>
  </w:style>
  <w:style w:type="paragraph" w:styleId="865">
    <w:name w:val="TOC Heading"/>
    <w:uiPriority w:val="39"/>
    <w:unhideWhenUsed/>
  </w:style>
  <w:style w:type="paragraph" w:styleId="866">
    <w:name w:val="table of figures"/>
    <w:basedOn w:val="867"/>
    <w:next w:val="867"/>
    <w:uiPriority w:val="99"/>
    <w:unhideWhenUsed/>
    <w:pPr>
      <w:spacing w:after="0" w:afterAutospacing="0"/>
    </w:pPr>
  </w:style>
  <w:style w:type="paragraph" w:styleId="867" w:default="1">
    <w:name w:val="Normal"/>
    <w:next w:val="867"/>
    <w:link w:val="867"/>
    <w:qFormat/>
    <w:rPr>
      <w:sz w:val="24"/>
      <w:szCs w:val="24"/>
      <w:lang w:val="ru-RU" w:eastAsia="ru-RU" w:bidi="ar-SA"/>
    </w:rPr>
  </w:style>
  <w:style w:type="paragraph" w:styleId="868">
    <w:name w:val="Заголовок 1"/>
    <w:basedOn w:val="867"/>
    <w:next w:val="867"/>
    <w:link w:val="867"/>
    <w:qFormat/>
    <w:pPr>
      <w:jc w:val="both"/>
      <w:keepNext/>
      <w:outlineLvl w:val="0"/>
    </w:pPr>
    <w:rPr>
      <w:szCs w:val="20"/>
    </w:rPr>
  </w:style>
  <w:style w:type="paragraph" w:styleId="869">
    <w:name w:val="Заголовок 6"/>
    <w:basedOn w:val="867"/>
    <w:next w:val="867"/>
    <w:link w:val="867"/>
    <w:qFormat/>
    <w:pPr>
      <w:jc w:val="center"/>
      <w:keepNext/>
      <w:outlineLvl w:val="5"/>
    </w:pPr>
    <w:rPr>
      <w:b/>
      <w:sz w:val="28"/>
      <w:szCs w:val="20"/>
    </w:rPr>
  </w:style>
  <w:style w:type="paragraph" w:styleId="870">
    <w:name w:val="Заголовок 7"/>
    <w:basedOn w:val="867"/>
    <w:next w:val="867"/>
    <w:link w:val="867"/>
    <w:qFormat/>
    <w:pPr>
      <w:jc w:val="center"/>
      <w:keepNext/>
      <w:outlineLvl w:val="6"/>
    </w:pPr>
    <w:rPr>
      <w:szCs w:val="20"/>
    </w:rPr>
  </w:style>
  <w:style w:type="character" w:styleId="871">
    <w:name w:val="Основной шрифт абзаца"/>
    <w:next w:val="871"/>
    <w:link w:val="877"/>
    <w:semiHidden/>
  </w:style>
  <w:style w:type="table" w:styleId="872">
    <w:name w:val="Обычная таблица"/>
    <w:next w:val="872"/>
    <w:link w:val="867"/>
    <w:semiHidden/>
    <w:tblPr/>
  </w:style>
  <w:style w:type="numbering" w:styleId="873">
    <w:name w:val="Нет списка"/>
    <w:next w:val="873"/>
    <w:link w:val="867"/>
    <w:semiHidden/>
  </w:style>
  <w:style w:type="paragraph" w:styleId="874">
    <w:name w:val="Normal1"/>
    <w:next w:val="874"/>
    <w:link w:val="867"/>
    <w:pPr>
      <w:spacing w:before="100" w:after="100"/>
    </w:pPr>
    <w:rPr>
      <w:sz w:val="24"/>
      <w:lang w:val="ru-RU" w:eastAsia="ru-RU" w:bidi="ar-SA"/>
    </w:rPr>
  </w:style>
  <w:style w:type="paragraph" w:styleId="875">
    <w:name w:val="Основной текст"/>
    <w:basedOn w:val="867"/>
    <w:next w:val="875"/>
    <w:link w:val="867"/>
    <w:pPr>
      <w:jc w:val="both"/>
    </w:pPr>
    <w:rPr>
      <w:szCs w:val="20"/>
    </w:rPr>
  </w:style>
  <w:style w:type="paragraph" w:styleId="876">
    <w:name w:val="Основной текст с отступом"/>
    <w:basedOn w:val="867"/>
    <w:next w:val="876"/>
    <w:link w:val="867"/>
    <w:pPr>
      <w:ind w:left="283"/>
      <w:spacing w:after="120"/>
    </w:pPr>
  </w:style>
  <w:style w:type="paragraph" w:styleId="877">
    <w:name w:val=" Знак1 Знак Знак Знак Знак Знак Знак Знак Знак1 Char"/>
    <w:basedOn w:val="867"/>
    <w:next w:val="877"/>
    <w:link w:val="87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878">
    <w:name w:val="Текст выноски"/>
    <w:basedOn w:val="867"/>
    <w:next w:val="878"/>
    <w:link w:val="867"/>
    <w:semiHidden/>
    <w:rPr>
      <w:rFonts w:ascii="Tahoma" w:hAnsi="Tahoma" w:cs="Tahoma"/>
      <w:sz w:val="16"/>
      <w:szCs w:val="16"/>
    </w:rPr>
  </w:style>
  <w:style w:type="paragraph" w:styleId="879">
    <w:name w:val="Текст сноски"/>
    <w:basedOn w:val="867"/>
    <w:next w:val="879"/>
    <w:link w:val="867"/>
    <w:semiHidden/>
    <w:rPr>
      <w:rFonts w:ascii="Calibri" w:hAnsi="Calibri" w:eastAsia="Calibri"/>
      <w:sz w:val="20"/>
      <w:szCs w:val="20"/>
      <w:lang w:eastAsia="en-US"/>
    </w:rPr>
  </w:style>
  <w:style w:type="character" w:styleId="880">
    <w:name w:val="Знак сноски"/>
    <w:next w:val="880"/>
    <w:link w:val="867"/>
    <w:semiHidden/>
    <w:rPr>
      <w:vertAlign w:val="superscript"/>
    </w:rPr>
  </w:style>
  <w:style w:type="paragraph" w:styleId="881">
    <w:name w:val=" Знак"/>
    <w:basedOn w:val="867"/>
    <w:next w:val="881"/>
    <w:link w:val="86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882">
    <w:name w:val="Знак1 Знак Знак Знак Знак Знак Знак Знак Знак1 Char"/>
    <w:basedOn w:val="867"/>
    <w:next w:val="882"/>
    <w:link w:val="86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883">
    <w:name w:val="Сетка таблицы"/>
    <w:basedOn w:val="872"/>
    <w:next w:val="883"/>
    <w:link w:val="867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table" w:styleId="884">
    <w:name w:val="Сетка таблицы1"/>
    <w:basedOn w:val="872"/>
    <w:next w:val="883"/>
    <w:link w:val="867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character" w:styleId="885" w:default="1">
    <w:name w:val="Default Paragraph Font"/>
    <w:uiPriority w:val="1"/>
    <w:semiHidden/>
    <w:unhideWhenUsed/>
  </w:style>
  <w:style w:type="numbering" w:styleId="886" w:default="1">
    <w:name w:val="No List"/>
    <w:uiPriority w:val="99"/>
    <w:semiHidden/>
    <w:unhideWhenUsed/>
  </w:style>
  <w:style w:type="table" w:styleId="88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МО г.Белоярский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VeretelnikkE</dc:creator>
  <cp:lastModifiedBy>KaveckayaSR</cp:lastModifiedBy>
  <cp:revision>89</cp:revision>
  <dcterms:created xsi:type="dcterms:W3CDTF">2005-04-29T02:32:00Z</dcterms:created>
  <dcterms:modified xsi:type="dcterms:W3CDTF">2025-12-26T10:47:19Z</dcterms:modified>
  <cp:version>1048576</cp:version>
</cp:coreProperties>
</file>