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12</w:t>
      </w:r>
      <w:r>
        <w:rPr>
          <w:color w:val="333333"/>
        </w:rPr>
        <w:t>.0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2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color w:val="333333"/>
          <w:lang w:val="ru-RU"/>
        </w:rPr>
        <w:t>о</w:t>
      </w:r>
      <w:r>
        <w:rPr>
          <w:rFonts w:hint="default"/>
          <w:color w:val="333333"/>
        </w:rPr>
        <w:t xml:space="preserve">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в связи с производством, пер</w:t>
      </w:r>
      <w:r>
        <w:rPr>
          <w:rFonts w:hint="default"/>
          <w:color w:val="333333"/>
          <w:lang w:val="ru-RU"/>
        </w:rPr>
        <w:t>ер</w:t>
      </w:r>
      <w:r>
        <w:rPr>
          <w:rFonts w:hint="default"/>
          <w:color w:val="333333"/>
        </w:rPr>
        <w:t>аботкой мяса оленей в 2022 году</w:t>
      </w:r>
      <w:r>
        <w:rPr>
          <w:rFonts w:hint="default"/>
          <w:color w:val="333333"/>
          <w:lang w:val="ru-RU"/>
        </w:rPr>
        <w:t>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</w:t>
      </w:r>
      <w:bookmarkStart w:id="0" w:name="_GoBack"/>
      <w:bookmarkEnd w:id="0"/>
      <w:r>
        <w:rPr>
          <w:color w:val="333333"/>
        </w:rPr>
        <w:t xml:space="preserve">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</w:pPr>
    </w:p>
    <w:p>
      <w:pPr>
        <w:pStyle w:val="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>
      <w:pPr>
        <w:pageBreakBefore/>
        <w:spacing w:after="0" w:line="240" w:lineRule="auto"/>
      </w:pP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4BD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4</TotalTime>
  <ScaleCrop>false</ScaleCrop>
  <LinksUpToDate>false</LinksUpToDate>
  <CharactersWithSpaces>1151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2022-04-07T04:33:42Z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69F301C9CE9D4F9780A204F077496637</vt:lpwstr>
  </property>
</Properties>
</file>